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pPr>
      <w:r>
        <w:rPr>
          <w:rFonts w:ascii="Times New Roman;serif" w:hAnsi="Times New Roman;serif"/>
          <w:b/>
          <w:color w:val="000000"/>
          <w:sz w:val="32"/>
        </w:rPr>
        <w:t>Form</w:t>
      </w:r>
      <w:r>
        <w:rPr>
          <w:color w:val="000000"/>
        </w:rPr>
        <w:t xml:space="preserve"> </w:t>
      </w:r>
      <w:r>
        <w:rPr>
          <w:rFonts w:ascii="Times New Roman;serif" w:hAnsi="Times New Roman;serif"/>
          <w:b/>
          <w:color w:val="000000"/>
          <w:sz w:val="32"/>
        </w:rPr>
        <w:t>10-Q</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001-37761</w:t>
      </w:r>
    </w:p>
    <w:p>
      <w:pPr>
        <w:pStyle w:val="TextBody"/>
        <w:bidi w:val="0"/>
        <w:spacing w:lineRule="auto" w:line="288" w:before="200" w:after="283"/>
        <w:jc w:val="center"/>
        <w:rPr>
          <w:rFonts w:ascii="Times New Roman;serif" w:hAnsi="Times New Roman;serif"/>
          <w:b/>
          <w:color w:val="000000"/>
          <w:sz w:val="44"/>
        </w:rPr>
      </w:pPr>
      <w:r>
        <w:rPr>
          <w:rFonts w:ascii="Times New Roman;serif" w:hAnsi="Times New Roman;serif"/>
          <w:b/>
          <w:color w:val="000000"/>
          <w:sz w:val="4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4334" w:type="dxa"/>
        <w:jc w:val="left"/>
        <w:tblInd w:w="0" w:type="dxa"/>
        <w:tblLayout w:type="fixed"/>
        <w:tblCellMar>
          <w:top w:w="28" w:type="dxa"/>
          <w:left w:w="28" w:type="dxa"/>
          <w:bottom w:w="28" w:type="dxa"/>
          <w:right w:w="28" w:type="dxa"/>
        </w:tblCellMar>
      </w:tblPr>
      <w:tblGrid>
        <w:gridCol w:w="964"/>
        <w:gridCol w:w="849"/>
        <w:gridCol w:w="856"/>
        <w:gridCol w:w="487"/>
        <w:gridCol w:w="487"/>
        <w:gridCol w:w="691"/>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20-5093315</w:t>
            </w:r>
          </w:p>
        </w:tc>
      </w:tr>
      <w:tr>
        <w:trPr/>
        <w:tc>
          <w:tcPr>
            <w:tcW w:w="26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 or organization)</w:t>
            </w:r>
          </w:p>
        </w:tc>
        <w:tc>
          <w:tcPr>
            <w:tcW w:w="16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(I.R.S. Employer</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 including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(650) 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10, 2026, 44,376,911 shares of the registrant’s common stock, $0.001 par value,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21" w:type="dxa"/>
        <w:jc w:val="center"/>
        <w:tblInd w:w="0" w:type="dxa"/>
        <w:tblLayout w:type="fixed"/>
        <w:tblCellMar>
          <w:top w:w="28" w:type="dxa"/>
          <w:left w:w="28" w:type="dxa"/>
          <w:bottom w:w="28" w:type="dxa"/>
          <w:right w:w="28" w:type="dxa"/>
        </w:tblCellMar>
      </w:tblPr>
      <w:tblGrid>
        <w:gridCol w:w="2891"/>
        <w:gridCol w:w="2539"/>
        <w:gridCol w:w="2550"/>
        <w:gridCol w:w="158"/>
        <w:gridCol w:w="158"/>
        <w:gridCol w:w="225"/>
      </w:tblGrid>
      <w:tr>
        <w:trPr/>
        <w:tc>
          <w:tcPr>
            <w:tcW w:w="2891"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10">
              <w:r>
                <w:rPr>
                  <w:rStyle w:val="InternetLink"/>
                  <w:rFonts w:ascii="Times New Roman;serif" w:hAnsi="Times New Roman;serif"/>
                  <w:b/>
                  <w:strike w:val="false"/>
                  <w:dstrike w:val="false"/>
                  <w:color w:val="000000"/>
                  <w:sz w:val="20"/>
                  <w:u w:val="none"/>
                  <w:effect w:val="none"/>
                </w:rPr>
                <w:t>PART I. FINANCIAL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13">
              <w:r>
                <w:rPr>
                  <w:rStyle w:val="InternetLink"/>
                  <w:rFonts w:ascii="Times New Roman;serif" w:hAnsi="Times New Roman;serif"/>
                  <w:b w:val="false"/>
                  <w:strike w:val="false"/>
                  <w:dstrike w:val="false"/>
                  <w:color w:val="000000"/>
                  <w:sz w:val="20"/>
                  <w:u w:val="none"/>
                  <w:effect w:val="none"/>
                </w:rPr>
                <w:t>Item 1. Condensed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13">
              <w:r>
                <w:rPr>
                  <w:rStyle w:val="InternetLink"/>
                  <w:rFonts w:ascii="Times New Roman;serif" w:hAnsi="Times New Roman;serif"/>
                  <w:b w:val="false"/>
                  <w:strike w:val="false"/>
                  <w:dstrike w:val="false"/>
                  <w:color w:val="000000"/>
                  <w:sz w:val="20"/>
                  <w:u w:val="none"/>
                  <w:effect w:val="none"/>
                </w:rPr>
                <w:t>1</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16">
              <w:r>
                <w:rPr>
                  <w:rStyle w:val="InternetLink"/>
                  <w:rFonts w:ascii="Times New Roman;serif" w:hAnsi="Times New Roman;serif"/>
                  <w:b w:val="false"/>
                  <w:strike w:val="false"/>
                  <w:dstrike w:val="false"/>
                  <w:color w:val="000000"/>
                  <w:sz w:val="20"/>
                  <w:u w:val="none"/>
                  <w:effect w:val="none"/>
                </w:rPr>
                <w:t>Condensed Consolidated Balance Sheets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16">
              <w:r>
                <w:rPr>
                  <w:rStyle w:val="InternetLink"/>
                  <w:rFonts w:ascii="Times New Roman;serif" w:hAnsi="Times New Roman;serif"/>
                  <w:b w:val="false"/>
                  <w:strike w:val="false"/>
                  <w:dstrike w:val="false"/>
                  <w:color w:val="000000"/>
                  <w:sz w:val="20"/>
                  <w:u w:val="none"/>
                  <w:effect w:val="none"/>
                </w:rPr>
                <w:t>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19">
              <w:r>
                <w:rPr>
                  <w:rStyle w:val="InternetLink"/>
                  <w:rFonts w:ascii="Times New Roman;serif" w:hAnsi="Times New Roman;serif"/>
                  <w:b w:val="false"/>
                  <w:strike w:val="false"/>
                  <w:dstrike w:val="false"/>
                  <w:color w:val="000000"/>
                  <w:sz w:val="20"/>
                  <w:u w:val="none"/>
                  <w:effect w:val="none"/>
                </w:rPr>
                <w:t>Condensed Consolidated Statements of Operations and Comprehensive Loss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19">
              <w:r>
                <w:rPr>
                  <w:rStyle w:val="InternetLink"/>
                  <w:rFonts w:ascii="Times New Roman;serif" w:hAnsi="Times New Roman;serif"/>
                  <w:b w:val="false"/>
                  <w:strike w:val="false"/>
                  <w:dstrike w:val="false"/>
                  <w:color w:val="000000"/>
                  <w:sz w:val="20"/>
                  <w:u w:val="none"/>
                  <w:effect w:val="none"/>
                </w:rPr>
                <w:t>2</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22">
              <w:r>
                <w:rPr>
                  <w:rStyle w:val="InternetLink"/>
                  <w:rFonts w:ascii="Times New Roman;serif" w:hAnsi="Times New Roman;serif"/>
                  <w:b w:val="false"/>
                  <w:strike w:val="false"/>
                  <w:dstrike w:val="false"/>
                  <w:color w:val="000000"/>
                  <w:sz w:val="20"/>
                  <w:u w:val="none"/>
                  <w:effect w:val="none"/>
                </w:rPr>
                <w:t>Condensed Consolidated Statements of Changes in Stockholders’ Equity</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22">
              <w:r>
                <w:rPr>
                  <w:rStyle w:val="InternetLink"/>
                  <w:rFonts w:ascii="Times New Roman;serif" w:hAnsi="Times New Roman;serif"/>
                  <w:b w:val="false"/>
                  <w:strike w:val="false"/>
                  <w:dstrike w:val="false"/>
                  <w:color w:val="000000"/>
                  <w:sz w:val="20"/>
                  <w:u w:val="none"/>
                  <w:effect w:val="none"/>
                </w:rPr>
                <w:t>3</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25">
              <w:r>
                <w:rPr>
                  <w:rStyle w:val="InternetLink"/>
                  <w:rFonts w:ascii="Times New Roman;serif" w:hAnsi="Times New Roman;serif"/>
                  <w:b w:val="false"/>
                  <w:strike w:val="false"/>
                  <w:dstrike w:val="false"/>
                  <w:color w:val="000000"/>
                  <w:sz w:val="20"/>
                  <w:u w:val="none"/>
                  <w:effect w:val="none"/>
                </w:rPr>
                <w:t>Condensed Consolidated Statements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25">
              <w:r>
                <w:rPr>
                  <w:rStyle w:val="InternetLink"/>
                  <w:rFonts w:ascii="Times New Roman;serif" w:hAnsi="Times New Roman;serif"/>
                  <w:b w:val="false"/>
                  <w:strike w:val="false"/>
                  <w:dstrike w:val="false"/>
                  <w:color w:val="000000"/>
                  <w:sz w:val="20"/>
                  <w:u w:val="none"/>
                  <w:effect w:val="none"/>
                </w:rPr>
                <w:t>4</w:t>
              </w:r>
            </w:hyperlink>
          </w:p>
        </w:tc>
      </w:tr>
      <w:tr>
        <w:trPr/>
        <w:tc>
          <w:tcPr>
            <w:tcW w:w="79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28">
              <w:r>
                <w:rPr>
                  <w:rStyle w:val="InternetLink"/>
                  <w:rFonts w:ascii="Times New Roman;serif" w:hAnsi="Times New Roman;serif"/>
                  <w:b w:val="false"/>
                  <w:strike w:val="false"/>
                  <w:dstrike w:val="false"/>
                  <w:color w:val="000000"/>
                  <w:sz w:val="20"/>
                  <w:u w:val="none"/>
                  <w:effect w:val="none"/>
                </w:rPr>
                <w:t>Notes to the Condensed Consolidated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28">
              <w:r>
                <w:rPr>
                  <w:rStyle w:val="InternetLink"/>
                  <w:rFonts w:ascii="Times New Roman;serif" w:hAnsi="Times New Roman;serif"/>
                  <w:b w:val="false"/>
                  <w:strike w:val="false"/>
                  <w:dstrike w:val="false"/>
                  <w:color w:val="000000"/>
                  <w:sz w:val="20"/>
                  <w:u w:val="none"/>
                  <w:effect w:val="none"/>
                </w:rPr>
                <w:t>5</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64">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64">
              <w:r>
                <w:rPr>
                  <w:rStyle w:val="InternetLink"/>
                  <w:rFonts w:ascii="Times New Roman;serif" w:hAnsi="Times New Roman;serif"/>
                  <w:b w:val="false"/>
                  <w:strike w:val="false"/>
                  <w:dstrike w:val="false"/>
                  <w:color w:val="000000"/>
                  <w:sz w:val="20"/>
                  <w:u w:val="none"/>
                  <w:effect w:val="none"/>
                </w:rPr>
                <w:t>16</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94">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94">
              <w:r>
                <w:rPr>
                  <w:rStyle w:val="InternetLink"/>
                  <w:rFonts w:ascii="Times New Roman;serif" w:hAnsi="Times New Roman;serif"/>
                  <w:b w:val="false"/>
                  <w:strike w:val="false"/>
                  <w:dstrike w:val="false"/>
                  <w:color w:val="000000"/>
                  <w:sz w:val="20"/>
                  <w:u w:val="none"/>
                  <w:effect w:val="none"/>
                </w:rPr>
                <w:t>31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97">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97">
              <w:r>
                <w:rPr>
                  <w:rStyle w:val="InternetLink"/>
                  <w:rFonts w:ascii="Times New Roman;serif" w:hAnsi="Times New Roman;serif"/>
                  <w:b w:val="false"/>
                  <w:strike w:val="false"/>
                  <w:dstrike w:val="false"/>
                  <w:color w:val="000000"/>
                  <w:sz w:val="20"/>
                  <w:u w:val="none"/>
                  <w:effect w:val="none"/>
                </w:rPr>
                <w:t>31</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100">
              <w:r>
                <w:rPr>
                  <w:rStyle w:val="InternetLink"/>
                  <w:rFonts w:ascii="Times New Roman;serif" w:hAnsi="Times New Roman;serif"/>
                  <w:b/>
                  <w:strike w:val="false"/>
                  <w:dstrike w:val="false"/>
                  <w:color w:val="000000"/>
                  <w:sz w:val="20"/>
                  <w:u w:val="none"/>
                  <w:effect w:val="none"/>
                </w:rPr>
                <w:t>PART II. 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103">
              <w:r>
                <w:rPr>
                  <w:rStyle w:val="InternetLink"/>
                  <w:rFonts w:ascii="Times New Roman;serif" w:hAnsi="Times New Roman;serif"/>
                  <w:b w:val="false"/>
                  <w:strike w:val="false"/>
                  <w:dstrike w:val="false"/>
                  <w:color w:val="000000"/>
                  <w:sz w:val="20"/>
                  <w:u w:val="none"/>
                  <w:effect w:val="none"/>
                </w:rPr>
                <w:t>Item 1. Legal Proceedings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103">
              <w:r>
                <w:rPr>
                  <w:rStyle w:val="InternetLink"/>
                  <w:rFonts w:ascii="Times New Roman;serif" w:hAnsi="Times New Roman;serif"/>
                  <w:b w:val="false"/>
                  <w:strike w:val="false"/>
                  <w:dstrike w:val="false"/>
                  <w:color w:val="000000"/>
                  <w:sz w:val="20"/>
                  <w:u w:val="none"/>
                  <w:effect w:val="none"/>
                </w:rPr>
                <w:t>32</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106">
              <w:r>
                <w:rPr>
                  <w:rStyle w:val="InternetLink"/>
                  <w:rFonts w:ascii="Times New Roman;serif" w:hAnsi="Times New Roman;serif"/>
                  <w:b w:val="false"/>
                  <w:strike w:val="false"/>
                  <w:dstrike w:val="false"/>
                  <w:color w:val="000000"/>
                  <w:sz w:val="20"/>
                  <w:u w:val="none"/>
                  <w:effect w:val="none"/>
                </w:rPr>
                <w:t>Item 1A. Risk Factors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106">
              <w:r>
                <w:rPr>
                  <w:rStyle w:val="InternetLink"/>
                  <w:rFonts w:ascii="Times New Roman;serif" w:hAnsi="Times New Roman;serif"/>
                  <w:b w:val="false"/>
                  <w:strike w:val="false"/>
                  <w:dstrike w:val="false"/>
                  <w:color w:val="000000"/>
                  <w:sz w:val="20"/>
                  <w:u w:val="none"/>
                  <w:effect w:val="none"/>
                </w:rPr>
                <w:t>33</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109">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109">
              <w:r>
                <w:rPr>
                  <w:rStyle w:val="InternetLink"/>
                  <w:rFonts w:ascii="Times New Roman;serif" w:hAnsi="Times New Roman;serif"/>
                  <w:b w:val="false"/>
                  <w:strike w:val="false"/>
                  <w:dstrike w:val="false"/>
                  <w:color w:val="000000"/>
                  <w:sz w:val="20"/>
                  <w:u w:val="none"/>
                  <w:effect w:val="none"/>
                </w:rPr>
                <w:t>87</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112">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112">
              <w:r>
                <w:rPr>
                  <w:rStyle w:val="InternetLink"/>
                  <w:rFonts w:ascii="Times New Roman;serif" w:hAnsi="Times New Roman;serif"/>
                  <w:b w:val="false"/>
                  <w:strike w:val="false"/>
                  <w:dstrike w:val="false"/>
                  <w:color w:val="000000"/>
                  <w:sz w:val="20"/>
                  <w:u w:val="none"/>
                  <w:effect w:val="none"/>
                </w:rPr>
                <w:t>87</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115">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115">
              <w:r>
                <w:rPr>
                  <w:rStyle w:val="InternetLink"/>
                  <w:rFonts w:ascii="Times New Roman;serif" w:hAnsi="Times New Roman;serif"/>
                  <w:b w:val="false"/>
                  <w:strike w:val="false"/>
                  <w:dstrike w:val="false"/>
                  <w:color w:val="000000"/>
                  <w:sz w:val="20"/>
                  <w:u w:val="none"/>
                  <w:effect w:val="none"/>
                </w:rPr>
                <w:t>87</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118">
              <w:r>
                <w:rPr>
                  <w:rStyle w:val="InternetLink"/>
                  <w:rFonts w:ascii="Times New Roman;serif" w:hAnsi="Times New Roman;serif"/>
                  <w:b w:val="false"/>
                  <w:strike w:val="false"/>
                  <w:dstrike w:val="false"/>
                  <w:color w:val="000000"/>
                  <w:sz w:val="20"/>
                  <w:u w:val="none"/>
                  <w:effect w:val="none"/>
                </w:rPr>
                <w:t>Item 5. 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118">
              <w:r>
                <w:rPr>
                  <w:rStyle w:val="InternetLink"/>
                  <w:rFonts w:ascii="Times New Roman;serif" w:hAnsi="Times New Roman;serif"/>
                  <w:b w:val="false"/>
                  <w:strike w:val="false"/>
                  <w:dstrike w:val="false"/>
                  <w:color w:val="000000"/>
                  <w:sz w:val="20"/>
                  <w:u w:val="none"/>
                  <w:effect w:val="none"/>
                </w:rPr>
                <w:t>87</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121">
              <w:r>
                <w:rPr>
                  <w:rStyle w:val="InternetLink"/>
                  <w:rFonts w:ascii="Times New Roman;serif" w:hAnsi="Times New Roman;serif"/>
                  <w:b w:val="false"/>
                  <w:strike w:val="false"/>
                  <w:dstrike w:val="false"/>
                  <w:color w:val="000000"/>
                  <w:sz w:val="20"/>
                  <w:u w:val="none"/>
                  <w:effect w:val="none"/>
                </w:rPr>
                <w:t>Item 6. Exhibits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121">
              <w:r>
                <w:rPr>
                  <w:rStyle w:val="InternetLink"/>
                  <w:rFonts w:ascii="Times New Roman;serif" w:hAnsi="Times New Roman;serif"/>
                  <w:b w:val="false"/>
                  <w:strike w:val="false"/>
                  <w:dstrike w:val="false"/>
                  <w:color w:val="000000"/>
                  <w:sz w:val="20"/>
                  <w:u w:val="none"/>
                  <w:effect w:val="none"/>
                </w:rPr>
                <w:t>89</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fe3c198cd81f4fce90efd6fc6c1397b5_124">
              <w:r>
                <w:rPr>
                  <w:rStyle w:val="InternetLink"/>
                  <w:rFonts w:ascii="Times New Roman;serif" w:hAnsi="Times New Roman;serif"/>
                  <w:b w:val="false"/>
                  <w:strike w:val="false"/>
                  <w:dstrike w:val="false"/>
                  <w:color w:val="000000"/>
                  <w:sz w:val="20"/>
                  <w:u w:val="none"/>
                  <w:effect w:val="none"/>
                </w:rPr>
                <w:t>SIGNATURES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fe3c198cd81f4fce90efd6fc6c1397b5_124">
              <w:r>
                <w:rPr>
                  <w:rStyle w:val="InternetLink"/>
                  <w:rFonts w:ascii="Times New Roman;serif" w:hAnsi="Times New Roman;serif"/>
                  <w:b w:val="false"/>
                  <w:strike w:val="false"/>
                  <w:dstrike w:val="false"/>
                  <w:color w:val="000000"/>
                  <w:sz w:val="20"/>
                  <w:u w:val="none"/>
                  <w:effect w:val="none"/>
                </w:rPr>
                <w:t>90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Item</w:t>
      </w:r>
      <w:r>
        <w:rPr>
          <w:color w:val="000000"/>
        </w:rPr>
        <w:t xml:space="preserve"> </w:t>
      </w:r>
      <w:r>
        <w:rPr>
          <w:rFonts w:ascii="Times New Roman;serif" w:hAnsi="Times New Roman;serif"/>
          <w:b/>
          <w:color w:val="000000"/>
          <w:sz w:val="20"/>
        </w:rPr>
        <w:t>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952"/>
        <w:gridCol w:w="2420"/>
        <w:gridCol w:w="2367"/>
        <w:gridCol w:w="213"/>
        <w:gridCol w:w="728"/>
        <w:gridCol w:w="109"/>
        <w:gridCol w:w="109"/>
        <w:gridCol w:w="109"/>
        <w:gridCol w:w="109"/>
        <w:gridCol w:w="211"/>
        <w:gridCol w:w="721"/>
        <w:gridCol w:w="157"/>
      </w:tblGrid>
      <w:tr>
        <w:trPr/>
        <w:tc>
          <w:tcPr>
            <w:tcW w:w="2952"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rPr/>
        <w:tc>
          <w:tcPr>
            <w:tcW w:w="7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46,943 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 operating lease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48,564 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20"/>
              </w:rPr>
              <w:t>LIABILITIES AND STOCKHOLDERS</w:t>
            </w:r>
            <w:r>
              <w:rPr>
                <w:color w:val="000000"/>
              </w:rPr>
              <w:t xml:space="preserve">’ </w:t>
            </w:r>
            <w:r>
              <w:rPr>
                <w:rFonts w:ascii="Times New Roman;serif" w:hAnsi="Times New Roman;serif"/>
                <w:b/>
                <w:color w:val="000000"/>
                <w:sz w:val="20"/>
              </w:rPr>
              <w:t>EQUITY</w:t>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 payable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 current portion</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12,795 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 non-current portion</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at June 30, 2026 and March 31, 2026; no shares outstanding at June 30, 2026 and March 31, 2026</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325,000,000 shares authorized at June 30, 2026 and March 31, 2026; 44,381,433 and 39,624,839 shares issued at June 30, 2026 and March 31, 2026, respectively</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516,767 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4,522 shares of common stock held at June 30, 2026 and March 31, 2026</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(477,317)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35,520 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48,564 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7988" w:type="dxa"/>
        <w:jc w:val="left"/>
        <w:tblInd w:w="0" w:type="dxa"/>
        <w:tblLayout w:type="fixed"/>
        <w:tblCellMar>
          <w:top w:w="28" w:type="dxa"/>
          <w:left w:w="28" w:type="dxa"/>
          <w:bottom w:w="28" w:type="dxa"/>
          <w:right w:w="28" w:type="dxa"/>
        </w:tblCellMar>
      </w:tblPr>
      <w:tblGrid>
        <w:gridCol w:w="1948"/>
        <w:gridCol w:w="1708"/>
        <w:gridCol w:w="1728"/>
        <w:gridCol w:w="211"/>
        <w:gridCol w:w="796"/>
        <w:gridCol w:w="109"/>
        <w:gridCol w:w="109"/>
        <w:gridCol w:w="109"/>
        <w:gridCol w:w="109"/>
        <w:gridCol w:w="211"/>
        <w:gridCol w:w="796"/>
        <w:gridCol w:w="154"/>
      </w:tblGrid>
      <w:tr>
        <w:trPr/>
        <w:tc>
          <w:tcPr>
            <w:tcW w:w="194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(15,804)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w:t>
            </w:r>
          </w:p>
        </w:tc>
        <w:tc>
          <w:tcPr>
            <w:tcW w:w="100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common share</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11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42,980,174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31,930,665</w:t>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pPr>
      <w:r>
        <w:rPr>
          <w:rFonts w:ascii="Times New Roman;serif" w:hAnsi="Times New Roman;serif"/>
          <w:b/>
          <w:color w:val="000000"/>
          <w:sz w:val="20"/>
        </w:rPr>
        <w:t>CONDENSED CONSOLIDATED STATEMENTS OF CHANGES IN STOCKHOLDERS</w:t>
      </w:r>
      <w:r>
        <w:rPr>
          <w:color w:val="000000"/>
        </w:rPr>
        <w:t xml:space="preserve">’ </w:t>
      </w:r>
      <w:r>
        <w:rPr>
          <w:rFonts w:ascii="Times New Roman;serif" w:hAnsi="Times New Roman;serif"/>
          <w:b/>
          <w:color w:val="000000"/>
          <w:sz w:val="20"/>
        </w:rPr>
        <w:t xml:space="preserve">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575" w:type="dxa"/>
        <w:jc w:val="center"/>
        <w:tblInd w:w="0" w:type="dxa"/>
        <w:tblLayout w:type="fixed"/>
        <w:tblCellMar>
          <w:top w:w="28" w:type="dxa"/>
          <w:left w:w="28" w:type="dxa"/>
          <w:bottom w:w="28" w:type="dxa"/>
          <w:right w:w="28" w:type="dxa"/>
        </w:tblCellMar>
      </w:tblPr>
      <w:tblGrid>
        <w:gridCol w:w="921"/>
        <w:gridCol w:w="229"/>
        <w:gridCol w:w="231"/>
        <w:gridCol w:w="304"/>
        <w:gridCol w:w="304"/>
        <w:gridCol w:w="308"/>
        <w:gridCol w:w="109"/>
        <w:gridCol w:w="109"/>
        <w:gridCol w:w="109"/>
        <w:gridCol w:w="231"/>
        <w:gridCol w:w="390"/>
        <w:gridCol w:w="130"/>
        <w:gridCol w:w="109"/>
        <w:gridCol w:w="109"/>
        <w:gridCol w:w="109"/>
        <w:gridCol w:w="196"/>
        <w:gridCol w:w="736"/>
        <w:gridCol w:w="109"/>
        <w:gridCol w:w="109"/>
        <w:gridCol w:w="109"/>
        <w:gridCol w:w="109"/>
        <w:gridCol w:w="196"/>
        <w:gridCol w:w="571"/>
        <w:gridCol w:w="109"/>
        <w:gridCol w:w="109"/>
        <w:gridCol w:w="109"/>
        <w:gridCol w:w="109"/>
        <w:gridCol w:w="468"/>
        <w:gridCol w:w="576"/>
        <w:gridCol w:w="262"/>
        <w:gridCol w:w="109"/>
        <w:gridCol w:w="109"/>
        <w:gridCol w:w="109"/>
        <w:gridCol w:w="208"/>
        <w:gridCol w:w="800"/>
        <w:gridCol w:w="118"/>
        <w:gridCol w:w="109"/>
        <w:gridCol w:w="109"/>
        <w:gridCol w:w="109"/>
        <w:gridCol w:w="239"/>
        <w:gridCol w:w="788"/>
        <w:gridCol w:w="189"/>
      </w:tblGrid>
      <w:tr>
        <w:trPr/>
        <w:tc>
          <w:tcPr>
            <w:tcW w:w="92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Treasury</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29,001,481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481,956 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(407,632)</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70,390 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Sale of common stock pursuant to 2019 Employee Stock Purchase Plan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Open Market Sale Agreement, net of issuance costs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marketable securities available-for-sale, net</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(15,095)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91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29,286,585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483,430 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(422,727)</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56,765 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688" w:type="dxa"/>
        <w:jc w:val="center"/>
        <w:tblInd w:w="0" w:type="dxa"/>
        <w:tblLayout w:type="fixed"/>
        <w:tblCellMar>
          <w:top w:w="28" w:type="dxa"/>
          <w:left w:w="28" w:type="dxa"/>
          <w:bottom w:w="28" w:type="dxa"/>
          <w:right w:w="28" w:type="dxa"/>
        </w:tblCellMar>
      </w:tblPr>
      <w:tblGrid>
        <w:gridCol w:w="921"/>
        <w:gridCol w:w="229"/>
        <w:gridCol w:w="231"/>
        <w:gridCol w:w="368"/>
        <w:gridCol w:w="368"/>
        <w:gridCol w:w="308"/>
        <w:gridCol w:w="109"/>
        <w:gridCol w:w="109"/>
        <w:gridCol w:w="109"/>
        <w:gridCol w:w="231"/>
        <w:gridCol w:w="390"/>
        <w:gridCol w:w="130"/>
        <w:gridCol w:w="109"/>
        <w:gridCol w:w="109"/>
        <w:gridCol w:w="109"/>
        <w:gridCol w:w="196"/>
        <w:gridCol w:w="736"/>
        <w:gridCol w:w="109"/>
        <w:gridCol w:w="109"/>
        <w:gridCol w:w="109"/>
        <w:gridCol w:w="109"/>
        <w:gridCol w:w="196"/>
        <w:gridCol w:w="571"/>
        <w:gridCol w:w="109"/>
        <w:gridCol w:w="109"/>
        <w:gridCol w:w="109"/>
        <w:gridCol w:w="109"/>
        <w:gridCol w:w="456"/>
        <w:gridCol w:w="595"/>
        <w:gridCol w:w="255"/>
        <w:gridCol w:w="109"/>
        <w:gridCol w:w="109"/>
        <w:gridCol w:w="109"/>
        <w:gridCol w:w="208"/>
        <w:gridCol w:w="800"/>
        <w:gridCol w:w="118"/>
        <w:gridCol w:w="109"/>
        <w:gridCol w:w="109"/>
        <w:gridCol w:w="109"/>
        <w:gridCol w:w="236"/>
        <w:gridCol w:w="778"/>
        <w:gridCol w:w="187"/>
      </w:tblGrid>
      <w:tr>
        <w:trPr/>
        <w:tc>
          <w:tcPr>
            <w:tcW w:w="92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1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39,624,839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516,767 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(477,317)</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35,520 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Sale of common stock pursuant to 2019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387,798 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marketable securities available-for-sale, net</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Open Market Sale Agreement, net of issuance costs</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1,580,176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Pre-Funded Warrants</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2,788,620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10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44,381,433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518,759 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(490,347)</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24,481 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51"/>
        <w:gridCol w:w="2417"/>
        <w:gridCol w:w="2433"/>
        <w:gridCol w:w="211"/>
        <w:gridCol w:w="795"/>
        <w:gridCol w:w="109"/>
        <w:gridCol w:w="109"/>
        <w:gridCol w:w="109"/>
        <w:gridCol w:w="109"/>
        <w:gridCol w:w="211"/>
        <w:gridCol w:w="795"/>
        <w:gridCol w:w="156"/>
      </w:tblGrid>
      <w:tr>
        <w:trPr/>
        <w:tc>
          <w:tcPr>
            <w:tcW w:w="2751"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7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on marketable securities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deferred contract acquisition costs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(18,846)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laboratory and other equipment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issuance of common stock, including option exercises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common stock under Open Market Sale Agreement, net of offering costs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sale of common stock under 2019 Employee Stock Purchase Plan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note payable for insurance policy</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notes payable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(18,146)</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48,985 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premiums settled by issuing note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equipment included in 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Description of Business</w:t>
      </w:r>
    </w:p>
    <w:p>
      <w:pPr>
        <w:pStyle w:val="TextBody"/>
        <w:bidi w:val="0"/>
        <w:spacing w:lineRule="auto" w:line="268" w:before="0" w:after="0"/>
        <w:jc w:val="both"/>
        <w:rPr/>
      </w:pPr>
      <w:r>
        <w:rPr>
          <w:rFonts w:ascii="Times New Roman;serif" w:hAnsi="Times New Roman;serif"/>
          <w:b w:val="false"/>
          <w:color w:val="000000"/>
          <w:sz w:val="20"/>
        </w:rPr>
        <w:t>Vistagen Therapeutics, Inc., a Nevada corporation (</w:t>
      </w:r>
      <w:r>
        <w:rPr>
          <w:rFonts w:ascii="Times New Roman;serif" w:hAnsi="Times New Roman;serif"/>
          <w:b w:val="false"/>
          <w:i/>
          <w:color w:val="000000"/>
          <w:sz w:val="20"/>
        </w:rPr>
        <w:t>Vistagen or the Company</w:t>
      </w:r>
      <w:r>
        <w:rPr>
          <w:rFonts w:ascii="Times New Roman;serif" w:hAnsi="Times New Roman;serif"/>
          <w:b w:val="false"/>
          <w:color w:val="000000"/>
          <w:sz w:val="20"/>
        </w:rPr>
        <w:t>), is a late clinical-stage biopharmaceutical company leveraging a deep understanding of nose-to-brain neurocircuitry to develop and potentially commercialize a new class of non-systemic intranasal product candidates called pherines. The Company's clinical-stage neuroscience pipeline currently consists of five clinical-stage pherine product candidates, each with a novel proposed mechanism of action (</w:t>
      </w:r>
      <w:r>
        <w:rPr>
          <w:rFonts w:ascii="Times New Roman;serif" w:hAnsi="Times New Roman;serif"/>
          <w:b w:val="false"/>
          <w:i/>
          <w:color w:val="000000"/>
          <w:sz w:val="20"/>
        </w:rPr>
        <w:t>MOA</w:t>
      </w:r>
      <w:r>
        <w:rPr>
          <w:rFonts w:ascii="Times New Roman;serif" w:hAnsi="Times New Roman;serif"/>
          <w:b w:val="false"/>
          <w:color w:val="000000"/>
          <w:sz w:val="20"/>
        </w:rPr>
        <w:t>) and at least one positive clinical study involving the Company's targeted patient population. Pherines rapidly, specifically and selectively bind to peripheral receptors in human nasal chemosensory neurons, and are designed to rapidly activate nose-to-brain neurocircuits believed to regulate brain areas without requiring systemic absorption or uptake into the brain to achieve desired therapeutic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2.</w:t>
      </w:r>
      <w:r>
        <w:rPr>
          <w:color w:val="000000"/>
        </w:rPr>
        <w:t xml:space="preserve"> </w:t>
      </w:r>
      <w:r>
        <w:rPr>
          <w:rFonts w:ascii="Times New Roman;serif" w:hAnsi="Times New Roman;serif"/>
          <w:b/>
          <w:color w:val="000000"/>
          <w:sz w:val="20"/>
        </w:rPr>
        <w:t>Basis of Presentation, Principles of Consolidation and Summary of Significant Accounting Policies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200" w:after="200"/>
        <w:jc w:val="both"/>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of America (</w:t>
      </w:r>
      <w:r>
        <w:rPr>
          <w:rFonts w:ascii="Times New Roman;serif" w:hAnsi="Times New Roman;serif"/>
          <w:b w:val="false"/>
          <w:i/>
          <w:color w:val="000000"/>
          <w:sz w:val="20"/>
        </w:rPr>
        <w:t>U.S. GAAP</w:t>
      </w:r>
      <w:r>
        <w:rPr>
          <w:rFonts w:ascii="Times New Roman;serif" w:hAnsi="Times New Roman;serif"/>
          <w:b w:val="false"/>
          <w:color w:val="000000"/>
          <w:sz w:val="20"/>
        </w:rPr>
        <w:t>) applicable to interim financial information and pursuant to the instructions of the Securities and Exchange Commission (</w:t>
      </w:r>
      <w:r>
        <w:rPr>
          <w:rFonts w:ascii="Times New Roman;serif" w:hAnsi="Times New Roman;serif"/>
          <w:b w:val="false"/>
          <w:i/>
          <w:color w:val="000000"/>
          <w:sz w:val="20"/>
        </w:rPr>
        <w:t>SEC</w:t>
      </w:r>
      <w:r>
        <w:rPr>
          <w:rFonts w:ascii="Times New Roman;serif" w:hAnsi="Times New Roman;serif"/>
          <w:b w:val="false"/>
          <w:color w:val="000000"/>
          <w:sz w:val="20"/>
        </w:rPr>
        <w:t>) on Form 10-Q and Rule 10-01 of Regulation S-X. Accordingly, they do not include all of the information and footnotes required by U.S. GAAP for complete financial statements. Further, the results of the Company's operations for any interim periods are not necessarily indicative of the results that may be expected for any other interim period or the full fiscal year. In the opinion of management, all normal and recurring adjustments considered necessary for a fair presentation have been included. The condensed consolidated balance sheet at March 31, 2026, has been derived from the Company's audited consolidated financial statements but does not include all disclosures required by U.S. GAAP. Because all of the disclosures required by U.S. GAAP for complete financial statements are not included herein, these unaudited condensed consolidated financial statements and the accompanying notes should be read in conjunction with the Company’s Annual Report on Form 10-K for the year ended March 31, 2026 (</w:t>
      </w:r>
      <w:r>
        <w:rPr>
          <w:rFonts w:ascii="Times New Roman;serif" w:hAnsi="Times New Roman;serif"/>
          <w:b w:val="false"/>
          <w:i/>
          <w:color w:val="000000"/>
          <w:sz w:val="20"/>
        </w:rPr>
        <w:t>Annual Report</w:t>
      </w:r>
      <w:r>
        <w:rPr>
          <w:rFonts w:ascii="Times New Roman;serif" w:hAnsi="Times New Roman;serif"/>
          <w:b w:val="false"/>
          <w:color w:val="000000"/>
          <w:sz w:val="20"/>
        </w:rPr>
        <w:t>), filed with the SEC on June 15, 2026.</w:t>
      </w:r>
    </w:p>
    <w:p>
      <w:pPr>
        <w:pStyle w:val="TextBody"/>
        <w:bidi w:val="0"/>
        <w:spacing w:lineRule="auto" w:line="288" w:before="0" w:after="0"/>
        <w:jc w:val="both"/>
        <w:rPr/>
      </w:pPr>
      <w:r>
        <w:rPr>
          <w:rFonts w:ascii="Times New Roman;serif" w:hAnsi="Times New Roman;serif"/>
          <w:b w:val="false"/>
          <w:color w:val="000000"/>
          <w:sz w:val="20"/>
        </w:rPr>
        <w:t>Any reference in these notes to applicable guidance is meant to refer to U.S. GAAP as found in the Accounting Standards Codification (</w:t>
      </w:r>
      <w:r>
        <w:rPr>
          <w:rFonts w:ascii="Times New Roman;serif" w:hAnsi="Times New Roman;serif"/>
          <w:b w:val="false"/>
          <w:i/>
          <w:color w:val="000000"/>
          <w:sz w:val="20"/>
        </w:rPr>
        <w:t>ASC</w:t>
      </w:r>
      <w:r>
        <w:rPr>
          <w:rFonts w:ascii="Times New Roman;serif" w:hAnsi="Times New Roman;serif"/>
          <w:b w:val="false"/>
          <w:color w:val="000000"/>
          <w:sz w:val="20"/>
        </w:rPr>
        <w:t>) and Accounting Standards Updates (</w:t>
      </w:r>
      <w:r>
        <w:rPr>
          <w:rFonts w:ascii="Times New Roman;serif" w:hAnsi="Times New Roman;serif"/>
          <w:b w:val="false"/>
          <w:i/>
          <w:color w:val="000000"/>
          <w:sz w:val="20"/>
        </w:rPr>
        <w:t>ASU</w:t>
      </w:r>
      <w:r>
        <w:rPr>
          <w:rFonts w:ascii="Times New Roman;serif" w:hAnsi="Times New Roman;serif"/>
          <w:b w:val="false"/>
          <w:color w:val="000000"/>
          <w:sz w:val="20"/>
        </w:rPr>
        <w:t>) promulgated by the Financial Accounting Standards Board (</w:t>
      </w:r>
      <w:r>
        <w:rPr>
          <w:rFonts w:ascii="Times New Roman;serif" w:hAnsi="Times New Roman;serif"/>
          <w:b w:val="false"/>
          <w:i/>
          <w:color w:val="000000"/>
          <w:sz w:val="20"/>
        </w:rPr>
        <w:t>FASB</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Vistagen and its subsidiaries. All intercompany accounts and transactions have been eliminated in consolidation.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order to complete the development of the Company's neuroscience product candidates and to expand its infrastructure and operations in a manner the Company believes will be necessary to commercialize its product candidates, if approved, on its own or with one or more collaborators, the Company will require substantial additional capital. Until the Company can generate a sufficient amount of revenue from the commercialization of its product candidates, the Company will seek to raise any necessary additional capital through equity and/or debt financings, loans or other capital sources, which could include income from collaborations, partnerships or other marketing, distribution, licensing or other strategic arrangements with third parties. Because of the numerous risks and uncertainties associated with research, development and commercialization of the Company's product candidates, the Company is unable to estimate the exact amount and timing of its capital requirements. The Company does not expect to generate any meaningful revenue unless and until the Company obtains regulatory approval of and commercializes any of the Company's product candidates, and the Company does not know when, or if, that will occur.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incurred significant losses and negative cash flows from operations since inception. As of June 30, 2026, the Company had an accumulated deficit of $490.3 million, and cash used in operations for the three months ended June 30, 2026 was $14.7 million. The Company expects that its operating losses and negative cash flows will continue for the foreseeable future as the Company continues to develop and, if approved, commercialize its product candidates.</w:t>
      </w:r>
    </w:p>
    <w:p>
      <w:pPr>
        <w:pStyle w:val="TextBody"/>
        <w:bidi w:val="0"/>
        <w:spacing w:lineRule="auto" w:line="268" w:before="200" w:after="283"/>
        <w:jc w:val="both"/>
        <w:rPr/>
      </w:pPr>
      <w:r>
        <w:rPr>
          <w:rFonts w:ascii="Times New Roman;serif" w:hAnsi="Times New Roman;serif"/>
          <w:b w:val="false"/>
          <w:color w:val="000000"/>
          <w:sz w:val="20"/>
        </w:rPr>
        <w:t>In accordance with Accounting Standards Codification (</w:t>
      </w:r>
      <w:r>
        <w:rPr>
          <w:rFonts w:ascii="Times New Roman;serif" w:hAnsi="Times New Roman;serif"/>
          <w:b w:val="false"/>
          <w:i/>
          <w:color w:val="000000"/>
          <w:sz w:val="20"/>
        </w:rPr>
        <w:t>ASC</w:t>
      </w:r>
      <w:r>
        <w:rPr>
          <w:rFonts w:ascii="Times New Roman;serif" w:hAnsi="Times New Roman;serif"/>
          <w:b w:val="false"/>
          <w:color w:val="000000"/>
          <w:sz w:val="20"/>
        </w:rPr>
        <w:t xml:space="preserve">) 205-40, Going Concern, the Company evaluated whether there are conditions and events, considered in the aggregate, that raise substantial doubt about the Company's ability to continue as a going concern within one year from the date these consolidated financial statements in this Quarterly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68" w:before="200" w:after="283"/>
        <w:jc w:val="both"/>
        <w:rPr/>
      </w:pPr>
      <w:r>
        <w:rPr>
          <w:rFonts w:ascii="Times New Roman;serif" w:hAnsi="Times New Roman;serif"/>
          <w:b w:val="false"/>
          <w:color w:val="000000"/>
          <w:sz w:val="20"/>
        </w:rPr>
        <w:t>on Form 10-Q (</w:t>
      </w:r>
      <w:r>
        <w:rPr>
          <w:rFonts w:ascii="Times New Roman;serif" w:hAnsi="Times New Roman;serif"/>
          <w:b w:val="false"/>
          <w:i/>
          <w:color w:val="000000"/>
          <w:sz w:val="20"/>
        </w:rPr>
        <w:t>Report</w:t>
      </w:r>
      <w:r>
        <w:rPr>
          <w:rFonts w:ascii="Times New Roman;serif" w:hAnsi="Times New Roman;serif"/>
          <w:b w:val="false"/>
          <w:color w:val="000000"/>
          <w:sz w:val="20"/>
        </w:rPr>
        <w:t>) are issued. This evaluation initially does not take into consideration the potential mitigating effects of management’s plans that have not yet been fully implemented as of the date the consolidated financial statements are issued. When substantial doubt exists under this methodology, management evaluates whether the mitigating effects of its plans sufficiently alleviate substantial doubt about the Company's ability to continue as a going concern. The mitigating effects of management’s plans, however, are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 In performing its analysis, management excluded certain elements of its operating plan that cannot be considered probable. Under ASC 205-40, the future receipt of potential funding from future equity and/or debt issuances and other potential sources such as partnerships cannot be considered probable at this time because these plans are not entirely within the Company's control nor have these plans been approved by the Board as of the date of these consolidated financial statements.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cash, cash equivalents, and marketable securities of $31.7 million. As of August 14, 2026, the issuance date of the condensed consolidated financial statements as of and for the three months ended June 30, 2026 in this Report, there is uncertainty about whether the Company's combined cash, cash equivalents, and marketable securities will be sufficient to fund operations beyond twelve months from the issuance date of these condensed consolidated financial statements and therefore the Company concluded that substantial doubt exists about its ability to continue as a going concern.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When necessary and/or advantageous, the Company will seek additional capital to fund the Company's planned operations through (i) sales of its equity and/or debt securities in one or more public offerings and/or private placements, including, but not limited to sales of its securities under its Open Market Sale Agreement with Jefferies LLC, (ii) non-dilutive government grants and research awards and/or (iii) non-dilutive strategic partnering collaborations to advance development and commercialization of one or more of its product candidates. However, no assurance can be provided that any such sales of the Company's securities, awards, agreements or collaborations will occur in the future. While the Company may make additional sales of its equity and/or debt securities, the Company does not have an obligation to do so.</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future working capital requirements will depend on many factors, including, without limitation, potential impacts related to adjustments in the size of the Company's staff or other actual and/or planned adjustments to its operations, the scope and nature of opportunities related to the Company's success or failure in nonclinical and clinical trials, including the development and commercialization of the Company's current product candidates, and the availability of, and its ability to enter into financing transactions and research, development and commercialization collaborations on terms acceptable to the Company. In the future, to further advance the nonclinical and clinical development of the Company's product candidates, as well as support the Company's operating activities, the Company plans to seek additional financing, including both equity-based and/or debt-based capital and potentially from non-dilutive sources other than debt-based capital, and continue to carefully manage its operating costs, including, but not limited to, the Company's clinical and nonclinical programs.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future financings will be available to the Company in sufficient amounts, in a timely manner, or on terms acceptable to the Company, if at all, or that any current or future development and commercialization collaborations will generate revenue from future potential milestone payments or otherwise. Further, on August 4, 2026, the Company received a notification from the Listing Qualifications Staff of The Nasdaq Stock Market LLC granting the Company an additional 180 calendar day compliance period, until February 1, 2027, to regain compliance with the requirement that the Company's common stock maintain a minimum closing bid price of $1.00 per share for continued listing on the Nasdaq Capital Market pursuant to Nasdaq Listing Rule 5550(a)(2).</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on a going concern basis, which contemplates the realization of assets and satisfaction of liabilities in the ordinary course of business. The condensed consolidated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bidi w:val="0"/>
        <w:spacing w:lineRule="auto" w:line="268" w:before="20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made in the accompanying condensed consolidated financial statements include, but are not limited to, those relating to stock-based compensation, revenue recognition, research and development expense, and determination of right-of-use assets under lease transactions and related lease obligations. Although these estimates are based on the Company's knowledge of current events, historical experiences, actions the Company may undertake in the future and on various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assumptions the Company believes are reasonable, actual results may materially differ from these estimates and assumptions.</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measures cash equivalents and available-for-sale debt securities at fair value. Fair value is defined as an exit price, representing the amount that would be received to sell an asset or paid to transfer a liability in an orderly transaction between market participants. A framework is used for measuring fair value utilizing a three-tier hierarchy that prioritizes the inputs to valuation techniques used to measure fair value.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1—Unadjusted quoted prices in active markets that are accessible at the measurement date for identical, unrestricted assets or liabilities.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Level 2—Quoted prices for similar assets and liabilities in active markets, quoted prices in markets that are not active, or inputs which are observable, either directly or indirectly, for substantially the full term of the asset or liability.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Level 3—Prices or valuation techniques that require inputs that are both significant to the fair value measurement and unobservable (i.e. supported by little or no market activity).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Money market funds are highly liquid investments and are classified as Level 1. The pricing information for these assets is readily available and can be independently validated as of the measurement date. Available-for-sale debt securities are valued using observable inputs from similar assets, or from observable data in markets that are not active. These assets are classified as Level 2.</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enterprise about which separate discrete financial information is available for evaluation by the chief operating decision-maker in making decisions regarding resource allocation and assessing performance. The Company manages its operations as a single reportable segment for the purposes of assessing performance and making operating decisions.</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Marketable securities consist of U.S. treasury securities. These securities are classified as available-for-sale,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The Company's marketable debt securities are classified as cash equivalents if the original maturity, from the date of purchase, is 90 days or less, and as marketable securities if the original maturity, from the date of purchase, is in excess of 90 days. The Company's cash equivalents are generally composed of U.S. treasury securities and money market funds. The amortized cost of available-for-sale securities reflects amortization of premiums and accretion of discounts to maturity. Premiums and discounts on debt securities are amortized into interest and other income, net.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 of these investments to fund current operations, as necessary. </w:t>
      </w:r>
    </w:p>
    <w:p>
      <w:pPr>
        <w:pStyle w:val="TextBody"/>
        <w:bidi w:val="0"/>
        <w:spacing w:lineRule="auto" w:line="268" w:before="20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were no significant updates not already disclosed in the Company’s audited consolidated financial statements for the years ended March 31, 2026, and 2025 to the recently issued accounting standards, for the three months ended June 30, 2026.</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Issued Accounting Pronouncements Not Yet Adopted</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Statement—Reporting Comprehensive Income—Expense Disaggregation Disclosures (Subtopic 220-40): Disaggregation of Income Statement Expenses (ASU 2024-03), which requires disaggregated disclosure of certain expenses to provide enhanced transparency into the expense captions presented on the face of the income statement. ASU 2024-03 is effective for annual periods beginning after December 15, 2026, and interim periods within annual reporting periods beginning after December 15, 2027, with early adoption permitted. For the Company, ASU 2024-03 will be effective for the fiscal year beginning April 1, 2027, the Company's fiscal year ending March 31, 2028, and for interim periods beginning with the quarter ending June 30, 2028. ASU 2024-03 may be adopted on a prospective or retrospective basis. The Company does not believe the adoption of ASU 2024-03 will have a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impact on the Company's consolidated financial statements, but it will increase the amount of expense information the Company provides. The Company anticipates providing further disclosures in accordance with ASU 2024-03 in its financial statements for the fiscal year ending March 31, 2028.</w:t>
      </w:r>
    </w:p>
    <w:p>
      <w:pPr>
        <w:pStyle w:val="TextBody"/>
        <w:bidi w:val="0"/>
        <w:spacing w:lineRule="auto" w:line="268" w:before="200" w:after="283"/>
        <w:jc w:val="both"/>
        <w:rPr/>
      </w:pPr>
      <w:r>
        <w:rPr>
          <w:rFonts w:ascii="Times New Roman;serif" w:hAnsi="Times New Roman;serif"/>
          <w:b w:val="false"/>
          <w:color w:val="000000"/>
          <w:sz w:val="20"/>
        </w:rPr>
        <w:t>In September 2025, the FASB issued ASU 2025-06, Intangibles — Goodwill and Other Internal-Use Software (</w:t>
      </w:r>
      <w:r>
        <w:rPr>
          <w:rFonts w:ascii="Times New Roman;serif" w:hAnsi="Times New Roman;serif"/>
          <w:b w:val="false"/>
          <w:i/>
          <w:color w:val="000000"/>
          <w:sz w:val="20"/>
        </w:rPr>
        <w:t>Subtopic 350-40</w:t>
      </w:r>
      <w:r>
        <w:rPr>
          <w:rFonts w:ascii="Times New Roman;serif" w:hAnsi="Times New Roman;serif"/>
          <w:b w:val="false"/>
          <w:color w:val="000000"/>
          <w:sz w:val="20"/>
        </w:rPr>
        <w:t>): Targeted Improvements to the Accounting for Internal-Use Software. This guidance modernizes the accounting framework for internal-use software by providing clearer criteria for capitalization, including the requirement to assess whether significant development uncertainty exists. ASU 2025-06 is effective for annual reporting periods beginning after December 15, 2027, and interim reporting periods within those annual reporting periods, with early adoption permitted. For the Company, ASU 2025-06 will be effective for the fiscal year beginning April 1, 2028, the Company's fiscal year ending March 31, 2029, including interim periods within that fiscal year beginning with the quarter ending June 30, 2028. The Company is currently evaluating the impact of this guidance on its financial statements.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 Scope Improvements, which provides clarity on the required interim disclosures under Topic 270 by providing a comprehensive list of required interim disclosures, and clarifies the applicability of Topic 270. ASU 2025-11 is effective for annual reporting periods beginning after December 15, 2027, and interim reporting periods within annual reporting periods beginning after December 15, 2028, with early adoption permitted. ASU 2025-11 may be adopted on a prospective or retrospective basis. For the Company, ASU 2025-11 will be effective for the fiscal year beginning April 1, 2028, the Company's fiscal year ending March 31, 2029, and for interim periods beginning with the quarter ending June 30, 2029. ASU 2025-11 may be adopted on a prospective or retrospective basis. The Company is currently evaluating the impact of this guidance on its financial statements.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which includes 33 amendments to the Accounting Standards Codification intended to clarify existing guidance, correct technical errors, and address minor inconsistencies across a broad range of topics. ASU 2025-12 is effective for the Company for annual reporting periods beginning after December 15, 2026. For the Company, this means the standard will first apply to the Company's annual financial statements for the year ending March 31, 2028. Early adoption is permitted. For the Company, ASU 2025-12 will be effective for the fiscal year beginning April 1, 2027, the Company's fiscal year ending March 31, 2028, and for interim periods beginning with the quarter ending June 30, 2027. Other than the amendments related to earnings per share, ASU 2025-12 may be adopted on a prospective or retrospective basis, and the transition method may be elected on an issue-by-issue basis. The Company has evaluated the amendments in ASU 2025-12 and do not expect adoption to have a material impact on its consolidated financial statements or disclosures.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show the Company's cash, cash equivalents and marketable securities at fair value as of June 30, 2026 and March 31, 2026 (in thousands):</w:t>
      </w:r>
    </w:p>
    <w:tbl>
      <w:tblPr>
        <w:tblW w:w="7775" w:type="dxa"/>
        <w:jc w:val="left"/>
        <w:tblInd w:w="0" w:type="dxa"/>
        <w:tblLayout w:type="fixed"/>
        <w:tblCellMar>
          <w:top w:w="28" w:type="dxa"/>
          <w:left w:w="28" w:type="dxa"/>
          <w:bottom w:w="28" w:type="dxa"/>
          <w:right w:w="28" w:type="dxa"/>
        </w:tblCellMar>
      </w:tblPr>
      <w:tblGrid>
        <w:gridCol w:w="927"/>
        <w:gridCol w:w="815"/>
        <w:gridCol w:w="823"/>
        <w:gridCol w:w="109"/>
        <w:gridCol w:w="109"/>
        <w:gridCol w:w="109"/>
        <w:gridCol w:w="211"/>
        <w:gridCol w:w="721"/>
        <w:gridCol w:w="109"/>
        <w:gridCol w:w="109"/>
        <w:gridCol w:w="109"/>
        <w:gridCol w:w="109"/>
        <w:gridCol w:w="211"/>
        <w:gridCol w:w="721"/>
        <w:gridCol w:w="109"/>
        <w:gridCol w:w="109"/>
        <w:gridCol w:w="109"/>
        <w:gridCol w:w="109"/>
        <w:gridCol w:w="213"/>
        <w:gridCol w:w="411"/>
        <w:gridCol w:w="110"/>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tbl>
      <w:tblPr>
        <w:tblW w:w="7775" w:type="dxa"/>
        <w:jc w:val="left"/>
        <w:tblInd w:w="0" w:type="dxa"/>
        <w:tblLayout w:type="fixed"/>
        <w:tblCellMar>
          <w:top w:w="28" w:type="dxa"/>
          <w:left w:w="28" w:type="dxa"/>
          <w:bottom w:w="28" w:type="dxa"/>
          <w:right w:w="28" w:type="dxa"/>
        </w:tblCellMar>
      </w:tblPr>
      <w:tblGrid>
        <w:gridCol w:w="927"/>
        <w:gridCol w:w="815"/>
        <w:gridCol w:w="823"/>
        <w:gridCol w:w="109"/>
        <w:gridCol w:w="109"/>
        <w:gridCol w:w="109"/>
        <w:gridCol w:w="211"/>
        <w:gridCol w:w="721"/>
        <w:gridCol w:w="109"/>
        <w:gridCol w:w="109"/>
        <w:gridCol w:w="109"/>
        <w:gridCol w:w="109"/>
        <w:gridCol w:w="211"/>
        <w:gridCol w:w="721"/>
        <w:gridCol w:w="109"/>
        <w:gridCol w:w="109"/>
        <w:gridCol w:w="109"/>
        <w:gridCol w:w="109"/>
        <w:gridCol w:w="213"/>
        <w:gridCol w:w="411"/>
        <w:gridCol w:w="110"/>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The carrying amounts of the Company's prepaid expenses and other current assets, accounts payable, accrued expenses, and the note payable approximate fair value due to their short maturities. The Company has no financial liabilities measured at fair value on a recurring basis at June 30, 2026 or March 31, 2026. There were no transfers between Levels 1, 2 or 3 for any of the periods presented.</w:t>
      </w:r>
    </w:p>
    <w:p>
      <w:pPr>
        <w:pStyle w:val="TextBody"/>
        <w:bidi w:val="0"/>
        <w:spacing w:lineRule="auto" w:line="26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did not record any impairment charges related to the Company's marketable debt securities during the three months ended June 30, 2026 or 2025.</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marketable securities as of June 30, 2026 and March 31, 2026 (in thousands):</w:t>
      </w:r>
    </w:p>
    <w:p>
      <w:pPr>
        <w:pStyle w:val="TextBody"/>
        <w:bidi w:val="0"/>
        <w:spacing w:before="20" w:after="283"/>
        <w:jc w:val="left"/>
        <w:rPr/>
      </w:pPr>
      <w:r>
        <w:rPr/>
      </w:r>
    </w:p>
    <w:tbl>
      <w:tblPr>
        <w:tblW w:w="10205" w:type="dxa"/>
        <w:jc w:val="left"/>
        <w:tblInd w:w="0" w:type="dxa"/>
        <w:tblLayout w:type="fixed"/>
        <w:tblCellMar>
          <w:top w:w="28" w:type="dxa"/>
          <w:left w:w="28" w:type="dxa"/>
          <w:bottom w:w="28" w:type="dxa"/>
          <w:right w:w="28" w:type="dxa"/>
        </w:tblCellMar>
      </w:tblPr>
      <w:tblGrid>
        <w:gridCol w:w="571"/>
        <w:gridCol w:w="503"/>
        <w:gridCol w:w="505"/>
        <w:gridCol w:w="555"/>
        <w:gridCol w:w="555"/>
        <w:gridCol w:w="557"/>
        <w:gridCol w:w="109"/>
        <w:gridCol w:w="109"/>
        <w:gridCol w:w="109"/>
        <w:gridCol w:w="285"/>
        <w:gridCol w:w="974"/>
        <w:gridCol w:w="147"/>
        <w:gridCol w:w="109"/>
        <w:gridCol w:w="109"/>
        <w:gridCol w:w="109"/>
        <w:gridCol w:w="449"/>
        <w:gridCol w:w="865"/>
        <w:gridCol w:w="233"/>
        <w:gridCol w:w="109"/>
        <w:gridCol w:w="109"/>
        <w:gridCol w:w="109"/>
        <w:gridCol w:w="571"/>
        <w:gridCol w:w="736"/>
        <w:gridCol w:w="297"/>
        <w:gridCol w:w="109"/>
        <w:gridCol w:w="109"/>
        <w:gridCol w:w="109"/>
        <w:gridCol w:w="211"/>
        <w:gridCol w:w="721"/>
        <w:gridCol w:w="162"/>
      </w:tblGrid>
      <w:tr>
        <w:trPr/>
        <w:tc>
          <w:tcPr>
            <w:tcW w:w="5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14,746 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14,746 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tbl>
      <w:tblPr>
        <w:tblW w:w="10205" w:type="dxa"/>
        <w:jc w:val="left"/>
        <w:tblInd w:w="0" w:type="dxa"/>
        <w:tblLayout w:type="fixed"/>
        <w:tblCellMar>
          <w:top w:w="28" w:type="dxa"/>
          <w:left w:w="28" w:type="dxa"/>
          <w:bottom w:w="28" w:type="dxa"/>
          <w:right w:w="28" w:type="dxa"/>
        </w:tblCellMar>
      </w:tblPr>
      <w:tblGrid>
        <w:gridCol w:w="571"/>
        <w:gridCol w:w="503"/>
        <w:gridCol w:w="505"/>
        <w:gridCol w:w="555"/>
        <w:gridCol w:w="555"/>
        <w:gridCol w:w="557"/>
        <w:gridCol w:w="109"/>
        <w:gridCol w:w="109"/>
        <w:gridCol w:w="109"/>
        <w:gridCol w:w="285"/>
        <w:gridCol w:w="974"/>
        <w:gridCol w:w="147"/>
        <w:gridCol w:w="109"/>
        <w:gridCol w:w="109"/>
        <w:gridCol w:w="109"/>
        <w:gridCol w:w="566"/>
        <w:gridCol w:w="687"/>
        <w:gridCol w:w="294"/>
        <w:gridCol w:w="109"/>
        <w:gridCol w:w="109"/>
        <w:gridCol w:w="109"/>
        <w:gridCol w:w="571"/>
        <w:gridCol w:w="736"/>
        <w:gridCol w:w="297"/>
        <w:gridCol w:w="109"/>
        <w:gridCol w:w="109"/>
        <w:gridCol w:w="109"/>
        <w:gridCol w:w="211"/>
        <w:gridCol w:w="721"/>
        <w:gridCol w:w="162"/>
      </w:tblGrid>
      <w:tr>
        <w:trPr/>
        <w:tc>
          <w:tcPr>
            <w:tcW w:w="5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14,616 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14,616 </w:t>
            </w:r>
          </w:p>
        </w:tc>
        <w:tc>
          <w:tcPr>
            <w:tcW w:w="1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9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14,614 </w:t>
            </w:r>
          </w:p>
        </w:tc>
        <w:tc>
          <w:tcPr>
            <w:tcW w:w="1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4. Notes Payable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May 2025, the Company executed a 6.54% promissory note in the principal amount of $1.0 million in connection with certain insurance policy premiums. The note was payable in monthly installments of approximately $0.1 million, including principal and interest, through April 2026. As of June 30, 2026, the note was repaid in full and no balance remained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5.</w:t>
      </w:r>
      <w:r>
        <w:rPr>
          <w:color w:val="000000"/>
        </w:rPr>
        <w:t xml:space="preserve"> </w:t>
      </w:r>
      <w:r>
        <w:rPr>
          <w:rFonts w:ascii="Times New Roman;serif" w:hAnsi="Times New Roman;serif"/>
          <w:b/>
          <w:color w:val="000000"/>
          <w:sz w:val="20"/>
        </w:rPr>
        <w:t>Capital Stock</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October 2023 Public Offering</w:t>
      </w:r>
    </w:p>
    <w:p>
      <w:pPr>
        <w:pStyle w:val="TextBody"/>
        <w:bidi w:val="0"/>
        <w:spacing w:lineRule="auto" w:line="288" w:before="200" w:after="283"/>
        <w:jc w:val="both"/>
        <w:rPr/>
      </w:pPr>
      <w:r>
        <w:rPr>
          <w:rFonts w:ascii="Times New Roman;serif" w:hAnsi="Times New Roman;serif"/>
          <w:b w:val="false"/>
          <w:color w:val="000000"/>
          <w:sz w:val="20"/>
        </w:rPr>
        <w:t>On October 2, 2023</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the Company completed an underwritten public offering (the </w:t>
      </w:r>
      <w:r>
        <w:rPr>
          <w:rFonts w:ascii="Times New Roman;serif" w:hAnsi="Times New Roman;serif"/>
          <w:b w:val="false"/>
          <w:i/>
          <w:color w:val="000000"/>
          <w:sz w:val="20"/>
        </w:rPr>
        <w:t>October 2023</w:t>
      </w:r>
      <w:r>
        <w:rPr>
          <w:color w:val="000000"/>
        </w:rPr>
        <w:t xml:space="preserve"> </w:t>
      </w:r>
      <w:r>
        <w:rPr>
          <w:rFonts w:ascii="Times New Roman;serif" w:hAnsi="Times New Roman;serif"/>
          <w:b w:val="false"/>
          <w:i/>
          <w:color w:val="000000"/>
          <w:sz w:val="20"/>
        </w:rPr>
        <w:t>Public</w:t>
      </w:r>
      <w:r>
        <w:rPr>
          <w:color w:val="000000"/>
        </w:rPr>
        <w:t xml:space="preserve"> </w:t>
      </w:r>
      <w:r>
        <w:rPr>
          <w:rFonts w:ascii="Times New Roman;serif" w:hAnsi="Times New Roman;serif"/>
          <w:b w:val="false"/>
          <w:i/>
          <w:color w:val="000000"/>
          <w:sz w:val="20"/>
        </w:rPr>
        <w:t>Offering</w:t>
      </w:r>
      <w:r>
        <w:rPr>
          <w:rFonts w:ascii="Times New Roman;serif" w:hAnsi="Times New Roman;serif"/>
          <w:b w:val="false"/>
          <w:color w:val="000000"/>
          <w:sz w:val="20"/>
        </w:rPr>
        <w:t xml:space="preserve">), whereby the Company offered and sold, for gross proceeds of approximately $100 million, a total of 15,010,810 shares of the Company's common stock and a total of 3,577,240 pre-funded warrants to purchase up to 3,577,240 shares of common stock (the </w:t>
      </w:r>
      <w:r>
        <w:rPr>
          <w:rFonts w:ascii="Times New Roman;serif" w:hAnsi="Times New Roman;serif"/>
          <w:b w:val="false"/>
          <w:i/>
          <w:color w:val="000000"/>
          <w:sz w:val="20"/>
        </w:rPr>
        <w:t>Pre-Funded Warrants</w:t>
      </w:r>
      <w:r>
        <w:rPr>
          <w:rFonts w:ascii="Times New Roman;serif" w:hAnsi="Times New Roman;serif"/>
          <w:b w:val="false"/>
          <w:color w:val="000000"/>
          <w:sz w:val="20"/>
        </w:rPr>
        <w:t xml:space="preserve">). Each share of common stock and each Pre-Funded Warrant was issued together with a ratably allocated portion of warrants to purchase up to 9,294,022 shares of common stock with an exercise price of $5.38 per share (the </w:t>
      </w:r>
      <w:r>
        <w:rPr>
          <w:rFonts w:ascii="Times New Roman;serif" w:hAnsi="Times New Roman;serif"/>
          <w:b w:val="false"/>
          <w:i/>
          <w:color w:val="000000"/>
          <w:sz w:val="20"/>
        </w:rPr>
        <w:t>T1</w:t>
      </w:r>
      <w:r>
        <w:rPr>
          <w:color w:val="000000"/>
        </w:rPr>
        <w:t xml:space="preserve"> </w:t>
      </w:r>
      <w:r>
        <w:rPr>
          <w:rFonts w:ascii="Times New Roman;serif" w:hAnsi="Times New Roman;serif"/>
          <w:b w:val="false"/>
          <w:i/>
          <w:color w:val="000000"/>
          <w:sz w:val="20"/>
        </w:rPr>
        <w:t>Warrants</w:t>
      </w:r>
      <w:r>
        <w:rPr>
          <w:rFonts w:ascii="Times New Roman;serif" w:hAnsi="Times New Roman;serif"/>
          <w:b w:val="false"/>
          <w:color w:val="000000"/>
          <w:sz w:val="20"/>
        </w:rPr>
        <w:t xml:space="preserve">) and warrants to purchase 11,265,086 shares of common stock with an exercise price of $8.877 per share (the </w:t>
      </w:r>
      <w:r>
        <w:rPr>
          <w:rFonts w:ascii="Times New Roman;serif" w:hAnsi="Times New Roman;serif"/>
          <w:b w:val="false"/>
          <w:i/>
          <w:color w:val="000000"/>
          <w:sz w:val="20"/>
        </w:rPr>
        <w:t>T2</w:t>
      </w:r>
      <w:r>
        <w:rPr>
          <w:color w:val="000000"/>
        </w:rPr>
        <w:t xml:space="preserve"> </w:t>
      </w:r>
      <w:r>
        <w:rPr>
          <w:rFonts w:ascii="Times New Roman;serif" w:hAnsi="Times New Roman;serif"/>
          <w:b w:val="false"/>
          <w:i/>
          <w:color w:val="000000"/>
          <w:sz w:val="20"/>
        </w:rPr>
        <w:t>Warrants</w:t>
      </w:r>
      <w:r>
        <w:rPr>
          <w:rFonts w:ascii="Times New Roman;serif" w:hAnsi="Times New Roman;serif"/>
          <w:b w:val="false"/>
          <w:color w:val="000000"/>
          <w:sz w:val="20"/>
        </w:rPr>
        <w:t>). The net proceeds to the Company from the October 2023 Public Offering were approximately $93.5 million, after deducting related expenses, including commissions, legal expenses and other offering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000000"/>
          <w:sz w:val="20"/>
        </w:rPr>
        <w:t xml:space="preserve">The Pre-Funded Warrants, T1 Warrants and T2 Warrants (collectively, the </w:t>
      </w:r>
      <w:r>
        <w:rPr>
          <w:rFonts w:ascii="Times New Roman;serif" w:hAnsi="Times New Roman;serif"/>
          <w:b w:val="false"/>
          <w:i/>
          <w:color w:val="000000"/>
          <w:sz w:val="20"/>
        </w:rPr>
        <w:t>Warrants</w:t>
      </w:r>
      <w:r>
        <w:rPr>
          <w:rFonts w:ascii="Times New Roman;serif" w:hAnsi="Times New Roman;serif"/>
          <w:b w:val="false"/>
          <w:color w:val="000000"/>
          <w:sz w:val="20"/>
        </w:rPr>
        <w:t>) are fully exercisable, only at the option of the holder. Holders may also exercise the T1 Warrants and T2 Warrants for Pre-Funded Warrants at their option. The Company may not effect the exercise of any Warrants, and a holder will not be entitled to exercise any portion of any of the Warrants, which, upon giving effect to such exercise, would cause the aggregate number of shares of common stock beneficially owned by the holder of such Warrant (together with its affiliates) to exceed 9.99% of the number of shares of common stock outstanding immediately after giving effect to the exercise. However, any holder may increase or decrease such percentage to any other percentage (not to exceed 19.99% if exceeding such percentage would result in a change of control under Nasdaq Listing Rule 5635(b) or any successor rule) upon at least 61 days’ prior notice from the holder to the Company subject to the terms of the respective Warrant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evaluated the terms of the Warrants issued and determined that they should be classified as equity instruments within additional paid-in capital. The Warrants are equity classified because they (i) are freestanding financial instruments that are legally detachable and separately exercisable from the other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Warrants do not provide any guarantee of value or return.</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Open Market Sale Agreement</w:t>
      </w:r>
    </w:p>
    <w:p>
      <w:pPr>
        <w:pStyle w:val="TextBody"/>
        <w:bidi w:val="0"/>
        <w:spacing w:lineRule="auto" w:line="288" w:before="0" w:after="0"/>
        <w:jc w:val="both"/>
        <w:rPr/>
      </w:pPr>
      <w:r>
        <w:rPr>
          <w:rFonts w:ascii="Times New Roman;serif" w:hAnsi="Times New Roman;serif"/>
          <w:b w:val="false"/>
          <w:color w:val="000000"/>
          <w:sz w:val="20"/>
        </w:rPr>
        <w:t xml:space="preserve">In May 2021, the Company entered into an Open Market Sale Agreement (the </w:t>
      </w:r>
      <w:r>
        <w:rPr>
          <w:rFonts w:ascii="Times New Roman;serif" w:hAnsi="Times New Roman;serif"/>
          <w:b w:val="false"/>
          <w:i/>
          <w:color w:val="000000"/>
          <w:sz w:val="20"/>
        </w:rPr>
        <w:t>Sales Agreement</w:t>
      </w:r>
      <w:r>
        <w:rPr>
          <w:rFonts w:ascii="Times New Roman;serif" w:hAnsi="Times New Roman;serif"/>
          <w:b w:val="false"/>
          <w:color w:val="000000"/>
          <w:sz w:val="20"/>
        </w:rPr>
        <w:t>) with Jefferies LLC (</w:t>
      </w:r>
      <w:r>
        <w:rPr>
          <w:rFonts w:ascii="Times New Roman;serif" w:hAnsi="Times New Roman;serif"/>
          <w:b w:val="false"/>
          <w:i/>
          <w:color w:val="000000"/>
          <w:sz w:val="20"/>
        </w:rPr>
        <w:t>Jefferies</w:t>
      </w:r>
      <w:r>
        <w:rPr>
          <w:rFonts w:ascii="Times New Roman;serif" w:hAnsi="Times New Roman;serif"/>
          <w:b w:val="false"/>
          <w:color w:val="000000"/>
          <w:sz w:val="20"/>
        </w:rPr>
        <w:t>) as sales agent, with respect to an at-the-market offering program under which the Company was permitted, at the Company's option, to offer and sell, from time to time, shares of the Company's common stock having an aggregate offering price of up to $175 million. As of June 30, 2026, shares of common stock with an aggregate offering price of approximately $139.5 million remained available for offer and sale under the Sales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sold 1,580,176 shares of the Company's common stock in at-the-market transactions under the Sales Agreement, resulting in net cash proceeds of approximately $0.9 million after sales agent commissions. During the three months ended June 30, 2025, the Company sold 190,067 shares under the Sales Agreement, resulting in net cash proceeds of approximately $0.4 million after sales agent commissions. The Company pays Jefferies a commission of up to three percent (3.0%) of the aggregate gross proceeds from any sales under the Sales Agreement.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the following common stock warrants were outstanding:</w:t>
      </w:r>
    </w:p>
    <w:tbl>
      <w:tblPr>
        <w:tblW w:w="5529" w:type="dxa"/>
        <w:jc w:val="left"/>
        <w:tblInd w:w="0" w:type="dxa"/>
        <w:tblLayout w:type="fixed"/>
        <w:tblCellMar>
          <w:top w:w="28" w:type="dxa"/>
          <w:left w:w="28" w:type="dxa"/>
          <w:bottom w:w="28" w:type="dxa"/>
          <w:right w:w="28" w:type="dxa"/>
        </w:tblCellMar>
      </w:tblPr>
      <w:tblGrid>
        <w:gridCol w:w="890"/>
        <w:gridCol w:w="783"/>
        <w:gridCol w:w="787"/>
        <w:gridCol w:w="109"/>
        <w:gridCol w:w="109"/>
        <w:gridCol w:w="109"/>
        <w:gridCol w:w="444"/>
        <w:gridCol w:w="444"/>
        <w:gridCol w:w="446"/>
        <w:gridCol w:w="109"/>
        <w:gridCol w:w="109"/>
        <w:gridCol w:w="109"/>
        <w:gridCol w:w="316"/>
        <w:gridCol w:w="316"/>
        <w:gridCol w:w="449"/>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Number of Common Shares</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Underlying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Exercise Price</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Expiration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9,294,022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8/29/2026</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11,265,086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$8.877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10/4/2028</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exercise price of all outstanding warrants at June 30, 2026 is $7.30 per share. No outstanding warrant is subject to any down-round anti-dilution protection feature. All outstanding warrants are exercisable by the holders only by payment in cash of the stated exercise price per share, except the T2 Warrants issued in connection with the October 2023 Public Offering, which may be exercised through a cashless exercise, via exchange of a portion of warrants to cover the exercise price.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72"/>
        <w:gridCol w:w="679"/>
        <w:gridCol w:w="681"/>
        <w:gridCol w:w="109"/>
        <w:gridCol w:w="109"/>
        <w:gridCol w:w="109"/>
        <w:gridCol w:w="540"/>
        <w:gridCol w:w="541"/>
        <w:gridCol w:w="276"/>
        <w:gridCol w:w="109"/>
        <w:gridCol w:w="109"/>
        <w:gridCol w:w="109"/>
        <w:gridCol w:w="506"/>
        <w:gridCol w:w="1231"/>
        <w:gridCol w:w="264"/>
        <w:gridCol w:w="109"/>
        <w:gridCol w:w="109"/>
        <w:gridCol w:w="109"/>
        <w:gridCol w:w="540"/>
        <w:gridCol w:w="541"/>
        <w:gridCol w:w="276"/>
        <w:gridCol w:w="109"/>
        <w:gridCol w:w="109"/>
        <w:gridCol w:w="109"/>
        <w:gridCol w:w="491"/>
        <w:gridCol w:w="1192"/>
        <w:gridCol w:w="367"/>
      </w:tblGrid>
      <w:tr>
        <w:trPr/>
        <w:tc>
          <w:tcPr>
            <w:tcW w:w="7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Exercise Price</w:t>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23,347,728 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23,360,080 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(2,788,620)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0.001 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20,559,108 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23,360,080 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2026, Pre-Funded Warrants to purchase 2,788,620 shares of common stock with an exercise price of $0.001 per share were exercised resulting in the issuance of 2,788,620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6. Stock-Based Compensation</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stock option activity for the period ended June 30, 2026 is as follows (in thousands, except share and per share data and years):</w:t>
      </w:r>
    </w:p>
    <w:tbl>
      <w:tblPr>
        <w:tblW w:w="10205" w:type="dxa"/>
        <w:jc w:val="left"/>
        <w:tblInd w:w="0" w:type="dxa"/>
        <w:tblLayout w:type="fixed"/>
        <w:tblCellMar>
          <w:top w:w="28" w:type="dxa"/>
          <w:left w:w="28" w:type="dxa"/>
          <w:bottom w:w="28" w:type="dxa"/>
          <w:right w:w="28" w:type="dxa"/>
        </w:tblCellMar>
      </w:tblPr>
      <w:tblGrid>
        <w:gridCol w:w="696"/>
        <w:gridCol w:w="610"/>
        <w:gridCol w:w="614"/>
        <w:gridCol w:w="109"/>
        <w:gridCol w:w="109"/>
        <w:gridCol w:w="109"/>
        <w:gridCol w:w="488"/>
        <w:gridCol w:w="488"/>
        <w:gridCol w:w="313"/>
        <w:gridCol w:w="109"/>
        <w:gridCol w:w="109"/>
        <w:gridCol w:w="109"/>
        <w:gridCol w:w="382"/>
        <w:gridCol w:w="1116"/>
        <w:gridCol w:w="198"/>
        <w:gridCol w:w="109"/>
        <w:gridCol w:w="109"/>
        <w:gridCol w:w="109"/>
        <w:gridCol w:w="863"/>
        <w:gridCol w:w="863"/>
        <w:gridCol w:w="864"/>
        <w:gridCol w:w="109"/>
        <w:gridCol w:w="109"/>
        <w:gridCol w:w="109"/>
        <w:gridCol w:w="381"/>
        <w:gridCol w:w="735"/>
        <w:gridCol w:w="286"/>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5,249,249 </w:t>
            </w:r>
          </w:p>
        </w:tc>
        <w:tc>
          <w:tcPr>
            <w:tcW w:w="31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left"/>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stock options granted was estimated using the following assumptions:</w:t>
      </w:r>
    </w:p>
    <w:tbl>
      <w:tblPr>
        <w:tblW w:w="7504" w:type="dxa"/>
        <w:jc w:val="center"/>
        <w:tblInd w:w="0" w:type="dxa"/>
        <w:tblLayout w:type="fixed"/>
        <w:tblCellMar>
          <w:top w:w="28" w:type="dxa"/>
          <w:left w:w="28" w:type="dxa"/>
          <w:bottom w:w="28" w:type="dxa"/>
          <w:right w:w="28" w:type="dxa"/>
        </w:tblCellMar>
      </w:tblPr>
      <w:tblGrid>
        <w:gridCol w:w="990"/>
        <w:gridCol w:w="866"/>
        <w:gridCol w:w="873"/>
        <w:gridCol w:w="109"/>
        <w:gridCol w:w="109"/>
        <w:gridCol w:w="109"/>
        <w:gridCol w:w="610"/>
        <w:gridCol w:w="610"/>
        <w:gridCol w:w="610"/>
        <w:gridCol w:w="283"/>
        <w:gridCol w:w="283"/>
        <w:gridCol w:w="283"/>
        <w:gridCol w:w="518"/>
        <w:gridCol w:w="518"/>
        <w:gridCol w:w="733"/>
      </w:tblGrid>
      <w:tr>
        <w:trPr/>
        <w:tc>
          <w:tcPr>
            <w:tcW w:w="99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Risk-free interest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4.01% - 4.36%</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3.88% - 4.14%</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Expected term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5.63 - 6.08</w:t>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5.15 - 6.40 </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Expected stock price volatility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 xml:space="preserve">161.55% - 165.46% </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155.80% - 164.70%</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Dividend yield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recognized for all equity awards has been included in the consolidated statements of operations and comprehensive loss as follows (in thousands):</w:t>
      </w:r>
    </w:p>
    <w:tbl>
      <w:tblPr>
        <w:tblW w:w="6114" w:type="dxa"/>
        <w:jc w:val="center"/>
        <w:tblInd w:w="0" w:type="dxa"/>
        <w:tblLayout w:type="fixed"/>
        <w:tblCellMar>
          <w:top w:w="28" w:type="dxa"/>
          <w:left w:w="28" w:type="dxa"/>
          <w:bottom w:w="28" w:type="dxa"/>
          <w:right w:w="28" w:type="dxa"/>
        </w:tblCellMar>
      </w:tblPr>
      <w:tblGrid>
        <w:gridCol w:w="1251"/>
        <w:gridCol w:w="1096"/>
        <w:gridCol w:w="1102"/>
        <w:gridCol w:w="289"/>
        <w:gridCol w:w="640"/>
        <w:gridCol w:w="149"/>
        <w:gridCol w:w="149"/>
        <w:gridCol w:w="149"/>
        <w:gridCol w:w="149"/>
        <w:gridCol w:w="289"/>
        <w:gridCol w:w="640"/>
        <w:gridCol w:w="211"/>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options granted during the three months ended June 30, 2026 and 2025 was $0.52 and $1.87 per share, respectively. No options were exercised during the three months ended June 30, 2026 and 2025. As of June 30, 2026, total compensation cost not yet recognized related to unvested stock options was $4.8 million, which is expected to be recognized over a weighted-average period of 1.7 years.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an inducement to accepting new employment with the Company, upon approval by the Board or an authorized committee thereof, the Company has granted options to purchase shares of common stock in accordance with Nasdaq Listing Rule 5635(c)(4). To date, all options to purchase shares of common stock granted as inducement awards were granted outside of an existing equity incentive plan. These options are subject to terms substantially the same as those granted from the 2019 Omnibus Equity Incentive Plan. During the three months ended June 30, 2026, the Company granted an option to purchase an aggregate of 150,000 options to purchase shares of common stock as an inducement to employment for newly hired executive officers.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7. Net Loss per Common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Basic net loss per common share is calculated by dividing the net loss by the weighted average number of shares of common stock outstanding for the period, without consideration for common stock equivalents. The Pre-Funded Warrants associated with the October 2023 Public Offering (see Note 5 above) are considered outstanding shares in the basic earnings per share calculation given their nominal exercise price. Dilutive common stock equivalents for the periods presented include warrants for the purchase of common stock and common stock options outstanding under the Company’s equity compensation plans. For all periods presented, there is no difference in the number of shares used to calculate basic and diluted shares outstanding due to the Company’s net loss position.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potentially dilutive securities that have been excluded from the calculation of diluted net loss per share because their inclusion would be anti-dilutive:</w:t>
      </w:r>
    </w:p>
    <w:tbl>
      <w:tblPr>
        <w:tblW w:w="6586" w:type="dxa"/>
        <w:jc w:val="center"/>
        <w:tblInd w:w="0" w:type="dxa"/>
        <w:tblLayout w:type="fixed"/>
        <w:tblCellMar>
          <w:top w:w="28" w:type="dxa"/>
          <w:left w:w="28" w:type="dxa"/>
          <w:bottom w:w="28" w:type="dxa"/>
          <w:right w:w="28" w:type="dxa"/>
        </w:tblCellMar>
      </w:tblPr>
      <w:tblGrid>
        <w:gridCol w:w="1468"/>
        <w:gridCol w:w="1287"/>
        <w:gridCol w:w="1294"/>
        <w:gridCol w:w="343"/>
        <w:gridCol w:w="343"/>
        <w:gridCol w:w="350"/>
        <w:gridCol w:w="140"/>
        <w:gridCol w:w="140"/>
        <w:gridCol w:w="140"/>
        <w:gridCol w:w="315"/>
        <w:gridCol w:w="315"/>
        <w:gridCol w:w="451"/>
      </w:tblGrid>
      <w:tr>
        <w:trPr/>
        <w:tc>
          <w:tcPr>
            <w:tcW w:w="146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options to purchase common stock</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5,249,249</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4,725,164</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warrants to purchase common stock</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20,559,108</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20,571,460</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25,808,357</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25,296,624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Sublicensing and Collaborative Agreements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changes in contract assets and liabilities during the three months ended June 30, 2026. Contract acquisition costs are included as a component of other assets on the Company's condensed consolidated balance sheets. </w:t>
      </w:r>
    </w:p>
    <w:tbl>
      <w:tblPr>
        <w:tblW w:w="8620" w:type="dxa"/>
        <w:jc w:val="left"/>
        <w:tblInd w:w="0" w:type="dxa"/>
        <w:tblLayout w:type="fixed"/>
        <w:tblCellMar>
          <w:top w:w="28" w:type="dxa"/>
          <w:left w:w="28" w:type="dxa"/>
          <w:bottom w:w="28" w:type="dxa"/>
          <w:right w:w="28" w:type="dxa"/>
        </w:tblCellMar>
      </w:tblPr>
      <w:tblGrid>
        <w:gridCol w:w="1059"/>
        <w:gridCol w:w="931"/>
        <w:gridCol w:w="935"/>
        <w:gridCol w:w="324"/>
        <w:gridCol w:w="948"/>
        <w:gridCol w:w="167"/>
        <w:gridCol w:w="109"/>
        <w:gridCol w:w="109"/>
        <w:gridCol w:w="109"/>
        <w:gridCol w:w="266"/>
        <w:gridCol w:w="512"/>
        <w:gridCol w:w="138"/>
        <w:gridCol w:w="109"/>
        <w:gridCol w:w="109"/>
        <w:gridCol w:w="109"/>
        <w:gridCol w:w="229"/>
        <w:gridCol w:w="691"/>
        <w:gridCol w:w="120"/>
        <w:gridCol w:w="109"/>
        <w:gridCol w:w="109"/>
        <w:gridCol w:w="109"/>
        <w:gridCol w:w="334"/>
        <w:gridCol w:w="739"/>
        <w:gridCol w:w="24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w:t>
              <w:br/>
              <w:t>June 30, 2026</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AffaMed Agreement</w:t>
      </w:r>
    </w:p>
    <w:p>
      <w:pPr>
        <w:pStyle w:val="TextBody"/>
        <w:bidi w:val="0"/>
        <w:spacing w:lineRule="auto" w:line="288" w:before="200" w:after="283"/>
        <w:jc w:val="both"/>
        <w:rPr/>
      </w:pPr>
      <w:r>
        <w:rPr>
          <w:rFonts w:ascii="Times New Roman;serif" w:hAnsi="Times New Roman;serif"/>
          <w:b w:val="false"/>
          <w:color w:val="000000"/>
          <w:sz w:val="20"/>
        </w:rPr>
        <w:t xml:space="preserve">In June 2020, the Company entered into a license and collaboration agreement (the </w:t>
      </w:r>
      <w:r>
        <w:rPr>
          <w:rFonts w:ascii="Times New Roman;serif" w:hAnsi="Times New Roman;serif"/>
          <w:b w:val="false"/>
          <w:i/>
          <w:color w:val="000000"/>
          <w:sz w:val="20"/>
        </w:rPr>
        <w:t>AffaMed Agreement</w:t>
      </w:r>
      <w:r>
        <w:rPr>
          <w:rFonts w:ascii="Times New Roman;serif" w:hAnsi="Times New Roman;serif"/>
          <w:b w:val="false"/>
          <w:color w:val="000000"/>
          <w:sz w:val="20"/>
        </w:rPr>
        <w:t>) with EverInsight Therapeutics Inc., a company incorporated under the laws of the British Virgin Islands, now AffaMed Therapeutics, Inc. (</w:t>
      </w:r>
      <w:r>
        <w:rPr>
          <w:rFonts w:ascii="Times New Roman;serif" w:hAnsi="Times New Roman;serif"/>
          <w:b w:val="false"/>
          <w:i/>
          <w:color w:val="000000"/>
          <w:sz w:val="20"/>
        </w:rPr>
        <w:t>AffaMed</w:t>
      </w:r>
      <w:r>
        <w:rPr>
          <w:rFonts w:ascii="Times New Roman;serif" w:hAnsi="Times New Roman;serif"/>
          <w:b w:val="false"/>
          <w:color w:val="000000"/>
          <w:sz w:val="20"/>
        </w:rPr>
        <w:t>), pursuant to which the Company granted AffaMed an exclusive license to develop and commercialize fasedienol for social anxiety disorder (</w:t>
      </w:r>
      <w:r>
        <w:rPr>
          <w:rFonts w:ascii="Times New Roman;serif" w:hAnsi="Times New Roman;serif"/>
          <w:b w:val="false"/>
          <w:i/>
          <w:color w:val="000000"/>
          <w:sz w:val="20"/>
        </w:rPr>
        <w:t>SAD</w:t>
      </w:r>
      <w:r>
        <w:rPr>
          <w:rFonts w:ascii="Times New Roman;serif" w:hAnsi="Times New Roman;serif"/>
          <w:b w:val="false"/>
          <w:color w:val="000000"/>
          <w:sz w:val="20"/>
        </w:rPr>
        <w:t xml:space="preserve">) and potentially other anxiety-related disorders in Greater China, South Korea and Southeast Asia (which includes Indonesia, Malaysia, Philippines, Thailand and Vietnam) (collectively, </w:t>
      </w:r>
      <w:r>
        <w:rPr>
          <w:rFonts w:ascii="Times New Roman;serif" w:hAnsi="Times New Roman;serif"/>
          <w:b w:val="false"/>
          <w:i/>
          <w:color w:val="000000"/>
          <w:sz w:val="20"/>
        </w:rPr>
        <w:t>the Territory</w:t>
      </w:r>
      <w:r>
        <w:rPr>
          <w:rFonts w:ascii="Times New Roman;serif" w:hAnsi="Times New Roman;serif"/>
          <w:b w:val="false"/>
          <w:color w:val="000000"/>
          <w:sz w:val="20"/>
        </w:rPr>
        <w:t>). The Company retains exclusive development and commercialization rights for fasedienol in the U.S. and throughout the rest of the world outside the Territory.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is responsible for pursuing clinical development and regulatory submissions of fasedienol for acute treatment of anxiety in adults with SAD, and potentially other anxiety-related indications, in the United States on a ‘‘best efforts’’ basis, with no guarantee of success. If conducted, AffaMed may participate in a Phase 3 global clinical trial of fasedienol and would assume all direct costs and expenses of conducting such clinical trial in the Territory and a portion of the indirect costs of a global trial in which they participate. The Company will transfer all development data (nonclinical and clinical data) and the Company's regulatory documentation related to fasedienol throughout the term as it is developed or generated or otherwise comes into its control. The Company will grant to AffaMed a Right of Reference to its regulatory documentation and its development data, but retain exclusive development and commercialization rights for fasedienol in the U.S. and throughout the rest of the world outside the Territory.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Under the terms of the AffaMed Agreement, AffaMed paid to the Company a non-refundable upfront license payment of $5.0 million in August 2020. Additionally, upon successful development and commercialization of fasedienol in the Territory, the Company is eligible to receive milestone payments of up to $172.0 million. Further, the Company is eligible to receive royalty payments on a country-by-country basis on net sales for the later of ten years or the expiration of market or regulatory exclusivity in the jurisdiction, except that payments will be reduced on a country-by-country basis in the event there is no market exclusivity in the period. Royalty payments may also be reduced if there is a generic competitive product in the Territory in the period.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it has one combined performance obligation for the license to develop and commercialize fasedienol in the Territory and related development and regulatory services. In addition, AffaMed has an option that, if exercised by AffaMed, could create manufacturing obligations for the Company during development upon exercise. This option for manufacturing services was evaluated and determined not to include a material right.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a royalty constraint.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as the combined performance obligation is satisfied over time using an input method. Significant management judgment is required to determine the level of effort attributable to the performance obligation included in the AffaMed Agreement and the period over which the Company expects to complete its performance obligation. The performance period or measure of progress was estimated at the inception of the AffaMed Agreement and is re-evaluated in subsequent reporting periods. This re-evaluation may shorten or lengthen the period over which the Company recognizes revenue.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March 31, 2026, the Company had short-term deferred revenue of $0.2 million and $0.4 million, respectively, and no long-term deferred revenue related to the AffaMed Agreement. During the three months ended June 30, 2026, the Company recognized revenue of $0.2 million, as compared to $0.2 million during the three months ended June 30, 2025, under the AffaMed Agreement, which was included in the deferred revenue balance at the beginning of each period. The remaining deferred revenue under the AffaMed Agreement will be recognized over the expected remaining contractual term.</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Fuji Pharma Agreement</w:t>
      </w:r>
    </w:p>
    <w:p>
      <w:pPr>
        <w:pStyle w:val="TextBody"/>
        <w:bidi w:val="0"/>
        <w:spacing w:lineRule="auto" w:line="288" w:before="0" w:after="0"/>
        <w:jc w:val="both"/>
        <w:rPr/>
      </w:pPr>
      <w:r>
        <w:rPr>
          <w:rFonts w:ascii="Times New Roman;serif" w:hAnsi="Times New Roman;serif"/>
          <w:b w:val="false"/>
          <w:color w:val="000000"/>
          <w:sz w:val="20"/>
        </w:rPr>
        <w:t xml:space="preserve">On September 1, 2023, the Company entered into an Exclusive Negotiation Agreement (the </w:t>
      </w:r>
      <w:r>
        <w:rPr>
          <w:rFonts w:ascii="Times New Roman;serif" w:hAnsi="Times New Roman;serif"/>
          <w:b w:val="false"/>
          <w:i/>
          <w:color w:val="000000"/>
          <w:sz w:val="20"/>
        </w:rPr>
        <w:t>Negotiation Agreement</w:t>
      </w:r>
      <w:r>
        <w:rPr>
          <w:rFonts w:ascii="Times New Roman;serif" w:hAnsi="Times New Roman;serif"/>
          <w:b w:val="false"/>
          <w:color w:val="000000"/>
          <w:sz w:val="20"/>
        </w:rPr>
        <w:t>) with Fuji Pharma Co., Ltd. (</w:t>
      </w:r>
      <w:r>
        <w:rPr>
          <w:rFonts w:ascii="Times New Roman;serif" w:hAnsi="Times New Roman;serif"/>
          <w:b w:val="false"/>
          <w:i/>
          <w:color w:val="000000"/>
          <w:sz w:val="20"/>
        </w:rPr>
        <w:t>Fuji Pharma</w:t>
      </w:r>
      <w:r>
        <w:rPr>
          <w:rFonts w:ascii="Times New Roman;serif" w:hAnsi="Times New Roman;serif"/>
          <w:b w:val="false"/>
          <w:color w:val="000000"/>
          <w:sz w:val="20"/>
        </w:rPr>
        <w:t>), a Tokyo Stock Exchange-listed, Japan-based pharmaceutical company with a significant research, development, and commercial focus on pharmacological therapies for women’s health conditions. Pursuant to the terms and conditions of the Negotiation Agreement, the Company agreed, for a limited period of time, to negotiate exclusively with Fuji Pharma for a potential exclusive license agreement to develop and commercialize refisolone (formerly PH80) in Japan. Refisolone, the Company's clinical-stage pherine product candidate focused on women's health conditions, primarily the treatment of vasomotor symptoms (hot flashes) associated with menopause (the</w:t>
      </w:r>
      <w:r>
        <w:rPr>
          <w:color w:val="000000"/>
        </w:rPr>
        <w:t xml:space="preserve"> </w:t>
      </w:r>
      <w:r>
        <w:rPr>
          <w:rFonts w:ascii="Times New Roman;serif" w:hAnsi="Times New Roman;serif"/>
          <w:b w:val="false"/>
          <w:i/>
          <w:color w:val="000000"/>
          <w:sz w:val="20"/>
        </w:rPr>
        <w:t xml:space="preserve">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i/>
          <w:color w:val="000000"/>
          <w:sz w:val="20"/>
        </w:rPr>
        <w:t>Definitive Agreement</w:t>
      </w:r>
      <w:r>
        <w:rPr>
          <w:rFonts w:ascii="Times New Roman;serif" w:hAnsi="Times New Roman;serif"/>
          <w:b w:val="false"/>
          <w:color w:val="000000"/>
          <w:sz w:val="20"/>
        </w:rPr>
        <w:t xml:space="preserve">). The Negotiation Agreement provides for an exclusive negotiation period beginning on the date of formal written notice being received by Fuji Pharma that the Company has selected a contract development and manufacturing organization to conduct preclinical toxicology studies for refisolone (the </w:t>
      </w:r>
      <w:r>
        <w:rPr>
          <w:rFonts w:ascii="Times New Roman;serif" w:hAnsi="Times New Roman;serif"/>
          <w:b w:val="false"/>
          <w:i/>
          <w:color w:val="000000"/>
          <w:sz w:val="20"/>
        </w:rPr>
        <w:t>Payment Event</w:t>
      </w:r>
      <w:r>
        <w:rPr>
          <w:rFonts w:ascii="Times New Roman;serif" w:hAnsi="Times New Roman;serif"/>
          <w:b w:val="false"/>
          <w:color w:val="000000"/>
          <w:sz w:val="20"/>
        </w:rPr>
        <w:t>), and terminating on the later to occur of (i) fourteen (14) months from the date of the Payment Event or (ii) ninety (90) days from the date that the U.S. Food and Drug Administration (</w:t>
      </w:r>
      <w:r>
        <w:rPr>
          <w:rFonts w:ascii="Times New Roman;serif" w:hAnsi="Times New Roman;serif"/>
          <w:b w:val="false"/>
          <w:i/>
          <w:color w:val="000000"/>
          <w:sz w:val="20"/>
        </w:rPr>
        <w:t>FDA</w:t>
      </w:r>
      <w:r>
        <w:rPr>
          <w:rFonts w:ascii="Times New Roman;serif" w:hAnsi="Times New Roman;serif"/>
          <w:b w:val="false"/>
          <w:color w:val="000000"/>
          <w:sz w:val="20"/>
        </w:rPr>
        <w:t>) accepts the Company's refisolone Investigational New Drug (</w:t>
      </w:r>
      <w:r>
        <w:rPr>
          <w:rFonts w:ascii="Times New Roman;serif" w:hAnsi="Times New Roman;serif"/>
          <w:b w:val="false"/>
          <w:i/>
          <w:color w:val="000000"/>
          <w:sz w:val="20"/>
        </w:rPr>
        <w:t>IND</w:t>
      </w:r>
      <w:r>
        <w:rPr>
          <w:rFonts w:ascii="Times New Roman;serif" w:hAnsi="Times New Roman;serif"/>
          <w:b w:val="false"/>
          <w:color w:val="000000"/>
          <w:sz w:val="20"/>
        </w:rPr>
        <w:t>) application for clinical development of refisolone in the U.S. for the treatment of vasomotor symptoms (hot flashes) due to menopause (the</w:t>
      </w:r>
      <w:r>
        <w:rPr>
          <w:color w:val="000000"/>
        </w:rPr>
        <w:t xml:space="preserve"> </w:t>
      </w:r>
      <w:r>
        <w:rPr>
          <w:rFonts w:ascii="Times New Roman;serif" w:hAnsi="Times New Roman;serif"/>
          <w:b w:val="false"/>
          <w:i/>
          <w:color w:val="000000"/>
          <w:sz w:val="20"/>
        </w:rPr>
        <w:t>Exclusive Negotiation Period</w:t>
      </w:r>
      <w:r>
        <w:rPr>
          <w:rFonts w:ascii="Times New Roman;serif" w:hAnsi="Times New Roman;serif"/>
          <w:b w:val="false"/>
          <w:color w:val="000000"/>
          <w:sz w:val="20"/>
        </w:rPr>
        <w:t>).</w:t>
      </w:r>
    </w:p>
    <w:p>
      <w:pPr>
        <w:pStyle w:val="TextBody"/>
        <w:bidi w:val="0"/>
        <w:spacing w:lineRule="auto" w:line="288" w:before="200" w:after="283"/>
        <w:jc w:val="both"/>
        <w:rPr/>
      </w:pPr>
      <w:r>
        <w:rPr>
          <w:rFonts w:ascii="Times New Roman;serif" w:hAnsi="Times New Roman;serif"/>
          <w:b w:val="false"/>
          <w:color w:val="000000"/>
          <w:sz w:val="20"/>
        </w:rPr>
        <w:t>As consideration for the Exclusive Negotiation Period, Fuji Pharma agreed to make a payment to the Company of $1.5 million (</w:t>
      </w:r>
      <w:r>
        <w:rPr>
          <w:rFonts w:ascii="Times New Roman;serif" w:hAnsi="Times New Roman;serif"/>
          <w:b w:val="false"/>
          <w:i/>
          <w:color w:val="000000"/>
          <w:sz w:val="20"/>
        </w:rPr>
        <w:t>Purchase Price</w:t>
      </w:r>
      <w:r>
        <w:rPr>
          <w:rFonts w:ascii="Times New Roman;serif" w:hAnsi="Times New Roman;serif"/>
          <w:b w:val="false"/>
          <w:color w:val="000000"/>
          <w:sz w:val="20"/>
        </w:rPr>
        <w:t>), payable upon occurrence of the Payment Event. The Payment Event occurred in October 2023, and the Company received payment of the Purchase Price in full in November 2023. The Purchase Price is non-refundable, except upon a material breach of the Negotiation Agreement by the Company; however, should the Company and Fuji Pharma enter into the Potential Definitive Agreement, the Purchase Price will be credited against any upfront fee due in connection with the execution of such Potential Definitive Agreement. Neither the Company nor Fuji Pharma is obligated to enter into the Potential Definitive Agreement, and if the Company and Fuji Pharma have not entered into the Potential Definitive Agreement on or before the end of the Exclusive Negotiation Period, either the Company or Fuji Pharma may terminate any further negotiations.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March 31, 2026, the Company had $0 and $1.3 million short term deferred revenue on the condensed consolidated balance sheets. During the three months ended June 30, 2026 and 2025, the Company recognized $1.3 million and $0 of revenue under the Negotiation Agreement. The Company's performance obligation under the Negotiation Agreement was fully satisfied upon termination of the Exclusive Negotiation Period, no transaction price remains allocated to unsatisfied performance obligations, and the Company expects no further revenue under the Negotiation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9.</w:t>
      </w:r>
      <w:r>
        <w:rPr>
          <w:color w:val="000000"/>
        </w:rPr>
        <w:t xml:space="preserve"> </w:t>
      </w:r>
      <w:r>
        <w:rPr>
          <w:rFonts w:ascii="Times New Roman;serif" w:hAnsi="Times New Roman;serif"/>
          <w:b/>
          <w:color w:val="000000"/>
          <w:sz w:val="20"/>
        </w:rPr>
        <w:t xml:space="preserve">Related Party Transactions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2023, in connection with his retirement, the Company entered into a consulting agreement, as subsequently amended, with the Company's former Chief Financial Officer, Jerrold D. Dotson, to assist in transition matters related to the employment of the Company's new Chief Financial Officer. The agreement currently expires December 31, 2026. During the three months ended June 30, 2026 and 2025, the Company recorded expense under the consulting agreement of $30,000 in each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party to litigation, arbitration or other legal proceedings in the course of its business, such as (i) the civil action filed against the Company and its Board of Directors, certain of its executive officers, professional services and financial advisors, and industry analysts in the United States District Court for the Northern District of California (Case No. 4:25-cv-01510) on February 13, 2025, by two purported stockholders seeking compensatory and punitive damages, as well as fees and costs, which case was recently dismissed by the Court, with prejudice, (ii) the stockholder derivative action filed by the same purported stockholders in the District of Nevada (Case No. 2:26-cv-01128) on April 10, 2026, (iii) the putative class action filed in the Northern District of California (Case No. 3:26-cv-00427) on January 15, 2026, and (iv) the stockholder derivative actions filed in the Northern District of California (Case Nos. 4:26-cv-02656 and 3:26-cv-04480) on March 26, 2026 and May 13, 2026, respectively. The Company believes all allegations in these legal proceedings are wholly without merit, and intends to vigorously defend itself.</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outcome of any such legal proceedings, regardless of the merits, is inherently uncertain. In addition, litigation and related matters are costly and may divert the attention of the Company's management and other resources that would otherwise be engaged in other activities. If the Company was unable to prevail in any such legal proceedings, the Company's business, results of operations, liquidity,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11. Segment Information</w:t>
      </w:r>
    </w:p>
    <w:p>
      <w:pPr>
        <w:pStyle w:val="TextBody"/>
        <w:bidi w:val="0"/>
        <w:spacing w:lineRule="auto" w:line="268" w:before="0" w:after="0"/>
        <w:jc w:val="both"/>
        <w:rPr/>
      </w:pPr>
      <w:r>
        <w:rPr>
          <w:rFonts w:ascii="Times New Roman;serif" w:hAnsi="Times New Roman;serif"/>
          <w:b w:val="false"/>
          <w:color w:val="000000"/>
          <w:sz w:val="20"/>
        </w:rPr>
        <w:t>The Company operates as one operating segment, which includes all activities related to the discovery and development of its clinical and preclinical product candidates, for the purposes of assessing performance, making operating decisions, and allocating resources. The Company's chief operating decision maker (</w:t>
      </w:r>
      <w:r>
        <w:rPr>
          <w:rFonts w:ascii="Times New Roman;serif" w:hAnsi="Times New Roman;serif"/>
          <w:b w:val="false"/>
          <w:i/>
          <w:color w:val="000000"/>
          <w:sz w:val="20"/>
        </w:rPr>
        <w:t>CODM</w:t>
      </w:r>
      <w:r>
        <w:rPr>
          <w:rFonts w:ascii="Times New Roman;serif" w:hAnsi="Times New Roman;serif"/>
          <w:b w:val="false"/>
          <w:color w:val="000000"/>
          <w:sz w:val="20"/>
        </w:rPr>
        <w:t>) is its President and Chief Executive Officer.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CODM regularly reviews total operating expenses, disaggregated into research and development expense and general and administrative expense, against budget and prior periods. The CODM also monitors cash, cash equivalents, and marketable securities and internal cash forecasts to assess the sufficiency of cash resources to support the Company's research and development activities. The categories of significant expenses regularly provided to the CODM are reflected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condensed consolidated statements of operations and comprehensive loss. Other segment items included in net loss consist of interest income, net, and other income (expense).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the basis of segmentation or in the measurement of segment profit or loss from that disclosed in the Company's Annual Report on Form 10-K for the fiscal year ended March 31, 2026. Total assets for the reportable segment are reported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900"/>
        <w:jc w:val="left"/>
        <w:rPr/>
      </w:pPr>
      <w:r>
        <w:rPr>
          <w:rFonts w:ascii="Times New Roman;serif" w:hAnsi="Times New Roman;serif"/>
          <w:b/>
          <w:color w:val="000000"/>
          <w:sz w:val="20"/>
        </w:rPr>
        <w:t>Item</w:t>
      </w:r>
      <w:r>
        <w:rPr>
          <w:color w:val="000000"/>
        </w:rPr>
        <w:t xml:space="preserve"> </w:t>
      </w:r>
      <w:r>
        <w:rPr>
          <w:rFonts w:ascii="Times New Roman;serif" w:hAnsi="Times New Roman;serif"/>
          <w:b/>
          <w:color w:val="000000"/>
          <w:sz w:val="20"/>
        </w:rPr>
        <w:t>2.    MANAGEMENT</w:t>
      </w:r>
      <w:r>
        <w:rPr>
          <w:color w:val="000000"/>
        </w:rPr>
        <w:t>’</w:t>
      </w:r>
      <w:r>
        <w:rPr>
          <w:rFonts w:ascii="Times New Roman;serif" w:hAnsi="Times New Roman;serif"/>
          <w:b/>
          <w:color w:val="000000"/>
          <w:sz w:val="20"/>
        </w:rPr>
        <w: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both"/>
        <w:rPr/>
      </w:pPr>
      <w:r>
        <w:rPr/>
      </w:r>
    </w:p>
    <w:p>
      <w:pPr>
        <w:pStyle w:val="TextBody"/>
        <w:bidi w:val="0"/>
        <w:spacing w:lineRule="auto" w:line="276" w:before="0" w:after="200"/>
        <w:jc w:val="both"/>
        <w:rPr>
          <w:rFonts w:ascii="Times New Roman;serif" w:hAnsi="Times New Roman;serif"/>
          <w:b w:val="false"/>
          <w:i/>
          <w:color w:val="000000"/>
          <w:sz w:val="20"/>
        </w:rPr>
      </w:pPr>
      <w:r>
        <w:rPr>
          <w:rFonts w:ascii="Times New Roman;serif" w:hAnsi="Times New Roman;serif"/>
          <w:b w:val="false"/>
          <w:i/>
          <w:color w:val="000000"/>
          <w:sz w:val="20"/>
        </w:rPr>
        <w:t>Certain statements in this Quarterly Report on Form 10-Q (Quarterly Report or Report) may constitute “forward-looking statements” for purposes of the federal securities laws, including the safe harbor provisions of Section 27A of the Securities Act of 1933, as amended (the Securities Act), and Section 21E of the Securities Exchange Act of 1934, as amended (the Exchange Act), that involve substantial risks and uncertainties.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also forward-looking statements. The words “anticipate,” “believe,” “can,” “contemplate,” "continue,” “could,” “estimate,” “expect,” “future,” “intends,” “may,” “might,” “plan,” “possible,” “potential,” “predict,” “project,” “should,” “strategy,” “target,” “will,” “would,” or the negative of these terms or similar expressions may identify forward-looking statements, but the absence of these words does not mean that a statement is not forward-looking. Forward-looking statements in this Report may include, for example, statements about:</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period over which we anticipate our available financial resources will enable us to fund our operating expense;</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obtain additional funding for our operations, including funding necessary to complete further development, approval and, if approved, commercialization of our product candidates;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format, objectives, strategy, likelihood of success, and cost of our preclinical studies and clinical trials and other product development activities, including the design of our preclinical studies and clinical trials and/or our ability to replicate past clinical trial results;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timing of initiation of our preclinical studies and clinical trials;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recruit, enroll and randomize suitable patients in our clinical trials;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timing of completion of our preclinical studies and clinical trials and related preparatory work;</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collect and interpret preclinical and clinical data;</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timing and outcome of regulatory interactions, including whether preclinical studies and clinical trials meet the criteria to enable early-stage or late-stage clinical development or support registration of our product candidates;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potential attributes and benefits of our product candidates;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obtain and, if obtained, maintain regulatory approval for our product candidates, and any related restrictions, limitations or warnings on the label of an approved product candidate;</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potential for our business development efforts to optimize the potential value of our neuroscience pipeline;</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compete with other companies currently marketing or engaged in the development of treatments for the indications that we pursue or are pursuing for our product candidates;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obtain and maintain intellectual property protection for our product candidates and the duration of such protection;</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contract with and rely on the performance of third-parties to assist in conducting our preclinical studies and clinical trials and manufacturing our product candidates;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size and growth potential of the markets for our product candidates, and our ability to serve those markets, either on our own or in partnership with others;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rate and degree of market acceptance of our product candidates, if approved;</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pricing and reimbursement of our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regulatory changes, including regulatory personnel, and developments in the U.S. and foreign countries;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impact of laws, regulations, accounting standards, regulatory requirements, judicial decisions and guidance issued by authoritative bodies;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attract and retain key scientific, medical, commercial and management personnel and the impact of any reductions in force (RIFs);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estimates regarding expenses, future revenue, and needs for additional financing;</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future financial performance;</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our ability to recognize the anticipated benefits of our License and Collaboration Agreement with AffaMed Therapeutics, Inc. (including our ability to receive future payments thereunder) and any other future financing or business development transactions;</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the effect of adverse market or macroeconomic conditions, including, among others, tariffs, inflation, interest rates and economic uncertainty, market volatility resulting from global political or economic developments, reduced staffing at the Company or at the FDA or other government regulatory agencies, war, international hostilities and terrorism, any future public health epidemics or outbreaks of infectious disease and other factors on any of the foregoing or other aspects of our business operations, including but not limited to our preclinical studies, clinical trials and other product development activities, healthcare systems and the global economy as a whole; and</w:t>
      </w:r>
    </w:p>
    <w:p>
      <w:pPr>
        <w:pStyle w:val="TextBody"/>
        <w:bidi w:val="0"/>
        <w:spacing w:lineRule="auto" w:line="276" w:before="0" w:after="200"/>
        <w:ind w:left="0" w:right="0" w:hanging="360"/>
        <w:jc w:val="both"/>
        <w:rPr/>
      </w:pPr>
      <w:r>
        <w:rPr>
          <w:color w:val="000000"/>
        </w:rPr>
        <w:t>•</w:t>
      </w:r>
      <w:r>
        <w:rPr>
          <w:rFonts w:ascii="Times New Roman;serif" w:hAnsi="Times New Roman;serif"/>
          <w:b w:val="false"/>
          <w:i/>
          <w:color w:val="000000"/>
          <w:sz w:val="20"/>
        </w:rPr>
        <w:t>other risks and uncertainties, including those listed under Part II, Item 1A of this Quarterly Report titled “Risk Factors.”</w:t>
      </w:r>
    </w:p>
    <w:p>
      <w:pPr>
        <w:pStyle w:val="TextBody"/>
        <w:bidi w:val="0"/>
        <w:spacing w:lineRule="auto" w:line="276" w:before="0" w:after="200"/>
        <w:jc w:val="both"/>
        <w:rPr>
          <w:rFonts w:ascii="Times New Roman;serif" w:hAnsi="Times New Roman;serif"/>
          <w:b w:val="false"/>
          <w:i/>
          <w:color w:val="000000"/>
          <w:sz w:val="20"/>
        </w:rPr>
      </w:pPr>
      <w:r>
        <w:rPr>
          <w:rFonts w:ascii="Times New Roman;serif" w:hAnsi="Times New Roman;serif"/>
          <w:b w:val="false"/>
          <w:i/>
          <w:color w:val="000000"/>
          <w:sz w:val="20"/>
        </w:rPr>
        <w:t>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or important factors that may cause actual results or performance to be materially different from those expressed or implied by these forward-looking statements. These risks and uncertainties include, but are not limited to, those factors described in the sections titled “Risk Factors” and “Management’s Discussion and Analysis of Financial Condition and Results of Operations,” set forth in this Quarterly Report.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bidi w:val="0"/>
        <w:spacing w:lineRule="auto" w:line="276" w:before="0" w:after="200"/>
        <w:jc w:val="both"/>
        <w:rPr>
          <w:rFonts w:ascii="Times New Roman;serif" w:hAnsi="Times New Roman;serif"/>
          <w:b w:val="false"/>
          <w:i/>
          <w:color w:val="000000"/>
          <w:sz w:val="20"/>
        </w:rPr>
      </w:pPr>
      <w:r>
        <w:rPr>
          <w:rFonts w:ascii="Times New Roman;serif" w:hAnsi="Times New Roman;serif"/>
          <w:b w:val="false"/>
          <w:i/>
          <w:color w:val="000000"/>
          <w:sz w:val="20"/>
        </w:rPr>
        <w:t>You should read this Quarterly Report completely and with the understanding that our actual future results may be materially different from what we expect. We qualify all of our forward-looking statements by these cautionary statements.</w:t>
      </w:r>
    </w:p>
    <w:p>
      <w:pPr>
        <w:pStyle w:val="TextBody"/>
        <w:bidi w:val="0"/>
        <w:spacing w:lineRule="auto" w:line="276" w:before="0" w:after="20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contains summaries of certain provisions contained in some of the documents described herein, but reference is made to the actual documents for complete information. All summaries are qualified in their entirety by the actual documents. Copies of some of the documents referred to in this Quarterly Report have been filed as exhibits to this Quarterly Report. Unless the context otherwise requires, reference in this Quarterly Report to the terms “Vistagen,” “the Company,” “we,” “us,” “our,” and similar designations refer to Vistagen Therapeutics, Inc., a Nevada corporation, and where appropriate, our consolidated subsidiaries.</w:t>
      </w:r>
    </w:p>
    <w:p>
      <w:pPr>
        <w:pStyle w:val="TextBody"/>
        <w:bidi w:val="0"/>
        <w:spacing w:lineRule="auto" w:line="276" w:before="0" w:after="20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may contain references to trademarks, trade names and service marks belonging to other entities. Solely for convenience, trademarks, trade names and service marks referred to in this Quarterly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We may from time to time provide estimates, projections and other information concerning our industry, the general business environment, and the markets for certain diseases or disorders, including estimates regarding the potential size of those markets and the estimated incidence and prevalence of certain medical conditions. Information that is based on estimates, forecasts, market research, projections, or similar methodologies is inherently subject to uncertainties, and actual circumstances, events or numbers, including actual disease prevalence rates and market size, may differ materially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from the information reflected in this Quarterly Report. Unless otherwise expressly stated, we obtained the industry, market and competitive position data from our internal estimates and research, or from independent market research, industry and general publications and surveys, governmental agencies and publicly available information in addition to research, surveys and studies conducted by third parties that have not been independently verified which may, in the future, prove not to have been accurate.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late clinical-stage biopharmaceutical company focused on leveraging a deep understanding of nose-to-brain neurocircuitry to develop and commercialize a new class of rapid-onset neurocircuitry-focused intranasal product candidates called pherines. Our pherine product candidates are designed to achieve therapeutic benefits without requiring absorption into the blood or uptake into the brain, giving them the potential to be a safer alternative to other pharmacological options, if successfully developed and approved. Our most advanced intranasal pherine product candidates are fasedienol for the acute treatment of social anxiety disorder, itruvone for treatment of major depressive disorder, and refisolone for treatment of vasomotor symptoms (hot flashes) due to menopause.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passionate about developing transformative treatment options with potential to meet clear and growing unmet patient needs and delivering long-term value to our stockholders.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Fasedienol PALISADE-3 Open Label Extension </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In May 2026, we announced preliminary data from the ongoing real-world open label extension (</w:t>
      </w:r>
      <w:r>
        <w:rPr>
          <w:rFonts w:ascii="Times New Roman;serif" w:hAnsi="Times New Roman;serif"/>
          <w:b w:val="false"/>
          <w:i/>
          <w:color w:val="000000"/>
          <w:sz w:val="20"/>
        </w:rPr>
        <w:t>OLE</w:t>
      </w:r>
      <w:r>
        <w:rPr>
          <w:rFonts w:ascii="Times New Roman;serif" w:hAnsi="Times New Roman;serif"/>
          <w:b w:val="false"/>
          <w:color w:val="000000"/>
          <w:sz w:val="20"/>
        </w:rPr>
        <w:t>) portion of our PALISADE-3 Phase 3 clinical trial. Based on an analysis of subjects who elected to participate in the OLE portion of PALISADE-3 (n=341 subjects), as of the May 8, 2026, data cutoff date, administration of 3.2 µg of fasedienol, taken as needed up to six times per day in real-world, anxiety-provoking situations in daily life for up to 12 months, was observed to be well-tolerated, with no new drug-related safety findings or trends identified. Preliminary exploratory efficacy data over the first four months of treatment in the OLE portion of PALISADE-3 showed improvement over time on both the clinician-administered Liebowitz Social Anxiety Scale (</w:t>
      </w:r>
      <w:r>
        <w:rPr>
          <w:rFonts w:ascii="Times New Roman;serif" w:hAnsi="Times New Roman;serif"/>
          <w:b w:val="false"/>
          <w:i/>
          <w:color w:val="000000"/>
          <w:sz w:val="20"/>
        </w:rPr>
        <w:t>LSAS</w:t>
      </w:r>
      <w:r>
        <w:rPr>
          <w:rFonts w:ascii="Times New Roman;serif" w:hAnsi="Times New Roman;serif"/>
          <w:b w:val="false"/>
          <w:color w:val="000000"/>
          <w:sz w:val="20"/>
        </w:rPr>
        <w:t>), which is a 24-item instrument used by clinical researchers to measure fear, anxiety, and avoidance of social and performance situations to assess the severity of social anxiety disorder, and the Social Phobia Inventory (</w:t>
      </w:r>
      <w:r>
        <w:rPr>
          <w:rFonts w:ascii="Times New Roman;serif" w:hAnsi="Times New Roman;serif"/>
          <w:b w:val="false"/>
          <w:i/>
          <w:color w:val="000000"/>
          <w:sz w:val="20"/>
        </w:rPr>
        <w:t>SPIN</w:t>
      </w:r>
      <w:r>
        <w:rPr>
          <w:rFonts w:ascii="Times New Roman;serif" w:hAnsi="Times New Roman;serif"/>
          <w:b w:val="false"/>
          <w:color w:val="000000"/>
          <w:sz w:val="20"/>
        </w:rPr>
        <w:t>). Because the OLE portion of PALISADE-3 was open-label and uncontrolled, these exploratory efficacy observations were not based on a comparison to placebo and should be interpreted with caution. We believe the preliminary safety and exploratory efficacy results of the PALISADE-3 OLE are generally consistent with the safety and efficacy results previously reported in the fasedienol open label, real-world Long-Term Safety Study completed in conjunction with our PALISADE-1 and PALISADE-2 Phase 3 trials, and in a prior randomized, double-blind, placebo-controlled multiple-dose Phase 2 crossover study of fasedienol, conducted in an outpatient environment involving anxiety-provoking social and performance situations in daily life.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Fasedienol PALISADE-4 Phase 3 Clinical Trial</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 xml:space="preserve">In June 2026, we announced topline and post-hoc data from the randomized portion of PALISADE-4, our </w:t>
      </w:r>
      <w:r>
        <w:rPr>
          <w:rFonts w:ascii="Times New Roman;serif" w:hAnsi="Times New Roman;serif"/>
          <w:b w:val="false"/>
          <w:color w:val="333333"/>
          <w:sz w:val="20"/>
        </w:rPr>
        <w:t>U.S. multi-center, randomized, double-b</w:t>
      </w:r>
      <w:r>
        <w:rPr>
          <w:rFonts w:ascii="Times New Roman;serif" w:hAnsi="Times New Roman;serif"/>
          <w:b w:val="false"/>
          <w:color w:val="000000"/>
          <w:sz w:val="20"/>
        </w:rPr>
        <w:t>lind, placebo-controlled Phase 3 clinical trial designed to evaluate the efficacy, safety, and tolerability of a single dose of fasedienol in reducing anxiety symptoms in adults with social anxiety disorder during a simulated anxiety-provoking public speaking challenge with the Subjective Units of Distress Scale (</w:t>
      </w:r>
      <w:r>
        <w:rPr>
          <w:rFonts w:ascii="Times New Roman;serif" w:hAnsi="Times New Roman;serif"/>
          <w:b w:val="false"/>
          <w:i/>
          <w:color w:val="000000"/>
          <w:sz w:val="20"/>
        </w:rPr>
        <w:t>SUDS</w:t>
      </w:r>
      <w:r>
        <w:rPr>
          <w:rFonts w:ascii="Times New Roman;serif" w:hAnsi="Times New Roman;serif"/>
          <w:b w:val="false"/>
          <w:color w:val="000000"/>
          <w:sz w:val="20"/>
        </w:rPr>
        <w:t>) as the primary endpoint. In the overall trial population (n=238), fasedienol did not achieve its primary endpoint, as measured by the least squares (</w:t>
      </w:r>
      <w:r>
        <w:rPr>
          <w:rFonts w:ascii="Times New Roman;serif" w:hAnsi="Times New Roman;serif"/>
          <w:b w:val="false"/>
          <w:i/>
          <w:color w:val="000000"/>
          <w:sz w:val="20"/>
        </w:rPr>
        <w:t>LS</w:t>
      </w:r>
      <w:r>
        <w:rPr>
          <w:rFonts w:ascii="Times New Roman;serif" w:hAnsi="Times New Roman;serif"/>
          <w:b w:val="false"/>
          <w:color w:val="000000"/>
          <w:sz w:val="20"/>
        </w:rPr>
        <w:t>) mean change from baseline on the SUDS score for fasedienol (-9.5+/-1.7 standard error (</w:t>
      </w:r>
      <w:r>
        <w:rPr>
          <w:rFonts w:ascii="Times New Roman;serif" w:hAnsi="Times New Roman;serif"/>
          <w:b w:val="false"/>
          <w:i/>
          <w:color w:val="000000"/>
          <w:sz w:val="20"/>
        </w:rPr>
        <w:t>SE</w:t>
      </w:r>
      <w:r>
        <w:rPr>
          <w:rFonts w:ascii="Times New Roman;serif" w:hAnsi="Times New Roman;serif"/>
          <w:b w:val="false"/>
          <w:color w:val="000000"/>
          <w:sz w:val="20"/>
        </w:rPr>
        <w:t>)) compared with placebo (-11.4+/-1.7 SE), with a difference in the LS means of 1.9 (p=0.427). There was no treatment difference between fasedienol and placebo for the secondary endpoints. In a post-hoc analysis of a subpopulation of patients with very severe social anxiety defined by a baseline score at screening of 95 or greater on the LSAS (n=123)</w:t>
      </w:r>
      <w:r>
        <w:rPr>
          <w:rFonts w:ascii="Times New Roman;serif" w:hAnsi="Times New Roman;serif"/>
          <w:b w:val="false"/>
          <w:color w:val="000000"/>
          <w:sz w:val="13"/>
        </w:rPr>
        <w:t>(1)</w:t>
      </w:r>
      <w:r>
        <w:rPr>
          <w:rFonts w:ascii="Times New Roman;serif" w:hAnsi="Times New Roman;serif"/>
          <w:b w:val="false"/>
          <w:color w:val="000000"/>
          <w:sz w:val="20"/>
        </w:rPr>
        <w:t>, fasedienol was nominally statistically significant as measured by the LS mean change from baseline on the SUDS score for fasedienol (-12.8+/-3.4 SE) compared with placebo (-3.7 +/-3.4 SE), with a difference in the LS means of -9.1 (p=0.036). Favorable safety and tolerability data of fasedienol were consistent with previous placebo-controlled clinical trials.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18"/>
              </w:rPr>
              <w:t>The post-hoc analysis for the very severe social anxiety disorder subpopulation (defined by LSAS ≥95) excludes data from one site (n=15) for irregularities documented and communicated before database lock that led to site disqualification from the trial. The post-hoc analysis also excluded data to account for public speaking challenge (</w:t>
            </w:r>
            <w:r>
              <w:rPr>
                <w:rFonts w:ascii="Times New Roman;serif" w:hAnsi="Times New Roman;serif"/>
                <w:b w:val="false"/>
                <w:i/>
                <w:color w:val="000000"/>
                <w:sz w:val="18"/>
              </w:rPr>
              <w:t>PSC</w:t>
            </w:r>
            <w:r>
              <w:rPr>
                <w:rFonts w:ascii="Times New Roman;serif" w:hAnsi="Times New Roman;serif"/>
                <w:b w:val="false"/>
                <w:color w:val="000000"/>
                <w:sz w:val="18"/>
              </w:rPr>
              <w:t>) ceiling and placebo effects: 1) subjects who had SUDS scores &gt; 90 at visit 2 or visit 3 at baseline could not be provoked effectively by the PSC to have higher SUDS scores for the experiment to work effectively (SUDS scale is from 0-100 with above 90 being extreme anxiety) (n=5); and 2) subjects who had SUDS score improvement higher than 20 from baseline at visit 2 (the placebo run-in) either were placebo responders or could not be provoked effectively by the PSC (n=1).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Fasedienol Aggregate Safety Data</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In June 2026, we also announced that we achieved the minimum fasedienol patient exposures as recommended under International Council for Harmonisation of Technical Requirements for Pharmaceuticals for Human Use (</w:t>
      </w:r>
      <w:r>
        <w:rPr>
          <w:rFonts w:ascii="Times New Roman;serif" w:hAnsi="Times New Roman;serif"/>
          <w:b w:val="false"/>
          <w:i/>
          <w:color w:val="000000"/>
          <w:sz w:val="20"/>
        </w:rPr>
        <w:t>ICH</w:t>
      </w:r>
      <w:r>
        <w:rPr>
          <w:rFonts w:ascii="Times New Roman;serif" w:hAnsi="Times New Roman;serif"/>
          <w:b w:val="false"/>
          <w:color w:val="000000"/>
          <w:sz w:val="20"/>
        </w:rPr>
        <w:t>) E1, the international regulatory standard governing safety database exposure recommendations for drugs intended for long-term treatment (chronic or repeated intermittent use for longer than 6 months) of non-life-threatening conditions. As of May 31, 2026, we estimate that the fasedienol clinical development program now exceeds ICH E1 minimum recommendations with over 1,500 subjects receiving at least a single exposure to fasedienol, over 300 subjects with at least 6-months of exposure, and over 100 subjects with at least 12 months of exposure. The 6-month and 12-month exposure numbers represent our estimate of the number of subjects who have completed the 6-month and 12-month visits in the fasedienol open-label safety studies as of May 31, 2026.</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In July 2026, we closed the open label extension portion of PALISADE-3 and PALISADE-4.</w:t>
      </w:r>
      <w:r>
        <w:rPr>
          <w:color w:val="000000"/>
        </w:rPr>
        <w:t xml:space="preserve"> </w:t>
      </w:r>
      <w:r>
        <w:rPr>
          <w:rFonts w:ascii="Times New Roman;serif" w:hAnsi="Times New Roman;serif"/>
          <w:b w:val="false"/>
          <w:color w:val="000000"/>
          <w:sz w:val="20"/>
        </w:rPr>
        <w:t xml:space="preserve">We expect to close the open label portion of the Repeat Dose Study in August 2026.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believe the minimum ICH E1 recommendations have been met, we have not yet aligned with the FDA on the specific patient exposure requirements to support a potential fasedienol NDA submission.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333333"/>
          <w:sz w:val="20"/>
        </w:rPr>
      </w:pPr>
      <w:r>
        <w:rPr>
          <w:rFonts w:ascii="Times New Roman;serif" w:hAnsi="Times New Roman;serif"/>
          <w:b/>
          <w:i/>
          <w:color w:val="333333"/>
          <w:sz w:val="20"/>
        </w:rPr>
        <w:t>Fasedienol Exploratory Phase 2 Repeat Dose Study</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August 2026, we announced topline results from the randomized portion of our repeat dose study of fasedienol, a three-arm, U.S. multicenter, randomized, double-blind, placebo controlled exploratory Phase 2 clinical study (N=61), which included an open label extension, designed to assess the efficacy, safety, and tolerability of two 3.2 µg doses of fasedienol administered ten minutes apart compared with a single 3.2 µg dose and placebo, for the acute treatment of anxiety induced by a public speaking challenge. The study was not designed to demonstrate statistically significant differences between the treatment groups.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The exploratory Phase 2 study met its safety objective, demonstrating that a second dose of fasedienol administered within ten minutes of the first dose produced safety and tolerability data comparable to single-dose administration, with no new safety findings and overall safety findings consistent with previous clinical studies. In addition, both active treatment arms in the primary endpoint analysis, the LS mean change in SUDS score from Visit 2 (baseline speech, V2) to Visit 3 (randomized speech, V3), showed numerical separation from placebo in LS mean SUDS change from V2 to V3, although the differences between treatment groups and placebo were not statistically significant (p=0.2). In the prespecified analysis of patients with very severe social anxiety disorder as defined by a baseline LSAS score of ≥ 95, fasedienol showed nominally statistically significant responses for the single dose arm compared with placebo (p=0.05) and as pooled (p=0.04). These findings in the very severe group of patients defined by LSAS ≥95 are consistent with results previously observed in this subpopulation in the randomized portion of PALISADE-4 (p=0.036).</w:t>
      </w:r>
      <w:r>
        <w:rPr>
          <w:color w:val="00000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333333"/>
          <w:sz w:val="20"/>
        </w:rPr>
      </w:pPr>
      <w:r>
        <w:rPr>
          <w:rFonts w:ascii="Times New Roman;serif" w:hAnsi="Times New Roman;serif"/>
          <w:b/>
          <w:i/>
          <w:color w:val="333333"/>
          <w:sz w:val="20"/>
        </w:rPr>
        <w:t>Fasedienol for the Acute Treatment of Social Anxiety Disorder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2026, the U.S. Food and Drug Administration published a revised draft guidance titled Demonstrating Substantial Evidence of Effectiveness for Human Drug and Biological Products. The revised draft guidance describes certain factors FDA will consider in assessing whether one adequate and well-controlled trial plus confirmatory evidence is sufficient for demonstrating substantial evidence of effectiveness. Informed by this revised draft guidance, we are preparing to meet with the FDA to discuss a potential registrational pathway for fasedienol for the acute treatment of social anxiety disorder supported by a single, future multi-dose Phase 3 trial with the LSAS as the primary endpoint, as well as confirmatory evidence from completed Phase 1, 2 and 3 studies of fasedienol, including our positive PALISADE-2 Phase 3 trial, and what we believe to be sufficient aggregate safety data.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Our Product Candidates</w:t>
      </w:r>
    </w:p>
    <w:p>
      <w:pPr>
        <w:pStyle w:val="TextBody"/>
        <w:bidi w:val="0"/>
        <w:spacing w:lineRule="auto" w:line="268" w:before="200" w:after="200"/>
        <w:jc w:val="left"/>
        <w:rPr>
          <w:rFonts w:ascii="Times New Roman;serif" w:hAnsi="Times New Roman;serif"/>
          <w:b/>
          <w:color w:val="000000"/>
          <w:sz w:val="20"/>
        </w:rPr>
      </w:pPr>
      <w:r>
        <w:rPr>
          <w:rFonts w:ascii="Times New Roman;serif" w:hAnsi="Times New Roman;serif"/>
          <w:b/>
          <w:color w:val="000000"/>
          <w:sz w:val="20"/>
        </w:rPr>
        <w:t>Fasedienol</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Overview of Social Anxiety Disorder </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Social anxiety disorder (</w:t>
      </w:r>
      <w:r>
        <w:rPr>
          <w:rFonts w:ascii="Times New Roman;serif" w:hAnsi="Times New Roman;serif"/>
          <w:b w:val="false"/>
          <w:i/>
          <w:color w:val="000000"/>
          <w:sz w:val="20"/>
        </w:rPr>
        <w:t>SAD</w:t>
      </w:r>
      <w:r>
        <w:rPr>
          <w:rFonts w:ascii="Times New Roman;serif" w:hAnsi="Times New Roman;serif"/>
          <w:b w:val="false"/>
          <w:color w:val="000000"/>
          <w:sz w:val="20"/>
        </w:rPr>
        <w:t xml:space="preserve">) is a highly prevalent, serious, and sometimes life-threatening psychiatric mental health disorder affecting over 30 million adults in the U.S. With onset typically early in life, usually during adolescence, SAD </w:t>
      </w:r>
      <w:r>
        <w:rPr>
          <w:rFonts w:ascii="Times New Roman;serif" w:hAnsi="Times New Roman;serif"/>
          <w:b w:val="false"/>
          <w:color w:val="212121"/>
          <w:sz w:val="20"/>
        </w:rPr>
        <w:t xml:space="preserve">persists for many years thereafter, with a </w:t>
      </w:r>
      <w:r>
        <w:rPr>
          <w:rFonts w:ascii="Times New Roman;serif" w:hAnsi="Times New Roman;serif"/>
          <w:b w:val="false"/>
          <w:color w:val="000000"/>
          <w:sz w:val="20"/>
        </w:rPr>
        <w:t>reported mean duration of about 20 years. Individuals with SAD experience extreme anxiety, distress, fear, and impairment due to their fear of being watched, embarrassed, judged, humiliated, negatively evaluated, and scrutinized. The profound acute anxiety associated with SAD often results in avoidance of everyday interactions and opportunities in academic, social and vocational settings, which can lead to impaired personal relationships, unsatisfactory work performance, and substance abuse, significantly impacting various aspects of daily life. Individuals with SAD face an increased risk of serious and life-threatening co-morbid depression, substance abuse, suicidal ideation and suicide.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Fasedienol for the Acute Treatment of Social Anxiety Disorder</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Fasedienol, our most advanced neurocircuitry-focused pherine product candidate, is in U.S. Phase 3 clinical development for the acute treatment of anxiety in adults with SAD. Fasedienol's proposed MOA is fundamentally differentiated from all FDA-approved anti-anxiety medications. When administered intranasally in microgram-level doses, neurocircuitry-focused fasedienol is proposed to modulate the nasal-limbic amygdala fear and anxiety neurocircuits involved in the pathophysiology of SAD. Fasedienol is pharmacologically active without requiring apparent systemic absorption or uptake into the brain to achieve its rapid-onset anxiolytic effects. Fasedienol also has no observed binding on certain cellular receptors isolated from the brain that are associated with known drug abuse liability potential (for example, dopamine and opiate receptors) which are activated by certain other pharmaceutical compounds used for neuropsychiatric and neurological disorders. Unlike benzodiazepines, data showed that fasedienol has no observed potentiation of GABA-A receptors. Because of its innovative non-systemic neurocircuitry-focused proposed MOA, Vistagen believes fasedienol has the potential to achieve rapid-onset anxiolytic effects for individuals with social anxiety disorder on an acute, as-needed basis, with a significantly reduced risk of unwanted side effects and safety concerns, such as potential drug-drug interactions, abuse, misuse, and addiction, associated with certain current oral and other systemically absorbed neuropsychiatric pharmaceuticals that act directly on neurons in the brain and are sometimes prescribed off-label for the acute treatment of SAD.</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 xml:space="preserve">Fasedienol's PALISADE Program </w:t>
      </w:r>
    </w:p>
    <w:p>
      <w:pPr>
        <w:pStyle w:val="TextBody"/>
        <w:bidi w:val="0"/>
        <w:spacing w:lineRule="auto" w:line="276" w:before="0" w:after="0"/>
        <w:jc w:val="both"/>
        <w:rPr/>
      </w:pPr>
      <w:r>
        <w:rPr>
          <w:rFonts w:ascii="Times New Roman;serif" w:hAnsi="Times New Roman;serif"/>
          <w:b w:val="false"/>
          <w:color w:val="000000"/>
          <w:sz w:val="20"/>
        </w:rPr>
        <w:t>Fasedienol is in Phase 3 development for the acute treatment of SAD and has received fast track designation from the FDA for development for that indication. It is designed to reduce the wave of anxiety usually experienced by SAD patients before engaging in (and during) a feared and anxiety-provoking social or performance situation. While there are approved treatments for SAD, none is approved for the acute treatment of SAD on an as-needed basis in connection with an anxiety-provoking social or performance-based event. We have designed fasedienol nasal spray with the goal of creating a product candidate with a rapid-onset, non-systemic proposed mechanism of action (</w:t>
      </w:r>
      <w:r>
        <w:rPr>
          <w:rFonts w:ascii="Times New Roman;serif" w:hAnsi="Times New Roman;serif"/>
          <w:b w:val="false"/>
          <w:i/>
          <w:color w:val="000000"/>
          <w:sz w:val="20"/>
        </w:rPr>
        <w:t>MOA</w:t>
      </w:r>
      <w:r>
        <w:rPr>
          <w:rFonts w:ascii="Times New Roman;serif" w:hAnsi="Times New Roman;serif"/>
          <w:b w:val="false"/>
          <w:color w:val="000000"/>
          <w:sz w:val="20"/>
        </w:rPr>
        <w:t>) and pharmacological effect, a key and substantial difference between fasedienol and all other available therapies approved by the FDA for the treatment of SAD.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To date, our PALISADE Program includes four Phase 3 clinical trials, PALISADE-1, PALISADE-2, PALISADE-3, and PALISADE-4, and a small exploratory Phase 2 repeat dose study (the </w:t>
      </w:r>
      <w:r>
        <w:rPr>
          <w:rFonts w:ascii="Times New Roman;serif" w:hAnsi="Times New Roman;serif"/>
          <w:b w:val="false"/>
          <w:i/>
          <w:color w:val="000000"/>
          <w:sz w:val="20"/>
        </w:rPr>
        <w:t>Repeat Dose Study</w:t>
      </w:r>
      <w:r>
        <w:rPr>
          <w:rFonts w:ascii="Times New Roman;serif" w:hAnsi="Times New Roman;serif"/>
          <w:b w:val="false"/>
          <w:color w:val="000000"/>
          <w:sz w:val="20"/>
        </w:rPr>
        <w:t xml:space="preserve">). These clinical trials were randomized, double-blind, placebo-controlled, U.S. multi-center studies designed to evaluate the efficacy, safety, and tolerability of a single dose of fasedienol to relieve anxiety symptoms in adult patients with SAD during a five-minute, simulated, anxiety-provoking public speaking challenge conducted in a clinical setting. The primary efficacy endpoint in each trial was the LS mean change from baseline on the patient-rated SUDS score for fasedienol compared with placebo. PALISADE-1, PALISADE-3, and PALISADE-4 did not achieve the primary and secondary endpoints. The Repeat Dose Study, which was not designed to demonstrate statistically significant differences between the treatment groups, also did not achieve its primary and secondary endpoints.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After receipt of negative top-line results from PALISADE-1 during the COVID-19 pandemic, we terminated PALISADE-2 prior to completion (after enrolling 141 patients out of a planned 208) and analyzed the data from the 141 enrolled subjects. In August 2023, we announced that PALISADE-2 achieved its primary efficacy endpoint, as measured by the LS mean change from baseline on the SUDS score for fasedienol compared with placebo, as well as its secondary endpoints. In PALISADE-4, in a post-hoc analysis of a subpopulation of patients with very severe social anxiety defined by a baseline score at screening of 95 or greater on the LSAS (n=123), fasedienol was nominally statistically significant as measured by the LS mean change from baseline on the SUDS score for fasedienol (-12.8+/-3.4 SE) compared with placebo (-3.7 +/-3.4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 with a difference in the LS mean of -9.1 (p=0.036). Additionally, in the Repeat Dose Study, in the prespecified analysis of patients with very severe social anxiety disorder, fasedienol showed nominally statistically significant responses for the single dose arm compared with placebo (p=0.05) and as pooled (p=0.04), consistent with results previously observed in this subpopulation in the randomized portion of PALISADE-4.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Safety data for fasedienol have been consistently favorable across all placebo-controlled clinical trials and open label clinical studies completed to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fasedienol has the potential to be the first FDA-approved acute treatment of SAD in adults and may provide significant advantages relative to the current suboptimal standard of care for this highly prevalent and serious mental health disorder.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Refisolone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Overview of Vasomotor Symptoms (Hot Flashes) due to Menopause</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Vasomotor symptoms (</w:t>
      </w:r>
      <w:r>
        <w:rPr>
          <w:rFonts w:ascii="Times New Roman;serif" w:hAnsi="Times New Roman;serif"/>
          <w:b w:val="false"/>
          <w:i/>
          <w:color w:val="000000"/>
          <w:sz w:val="20"/>
        </w:rPr>
        <w:t>VMS</w:t>
      </w:r>
      <w:r>
        <w:rPr>
          <w:rFonts w:ascii="Times New Roman;serif" w:hAnsi="Times New Roman;serif"/>
          <w:b w:val="false"/>
          <w:color w:val="000000"/>
          <w:sz w:val="20"/>
        </w:rPr>
        <w:t>), comprised of hot flashes and night sweats are the most common symptoms of the menopausal transition, affecting 60% - 80% of menopausal women in the U.S. according to SWAN (Study of Women Across the Nation) and other published studies. VMS can be described as a sudden, intense feeling of warmth spreading through the upper body and face, flushed appearance with red, blotchy skin, rapid heartbeat, and perspiration on the upper body. Each episode typically lasts between one and five minutes and may be accompanied by sweating, chills, and anxiety. Although there is individual variability in the frequency and severity of symptoms, VMS negatively impacts physical, emotional, social, and occupational well-being, and can significantly diminish the overall quality of life, mental health and work productivity for those who experience symptoms. While there are FDA-approved therapies for the treatment of moderate to severe VMS due to menopause, many women are unable to use current therapies due to contraindications and safety concerns, such as cardiovascular disorders, dementia, breast cancer, and liver toxicity.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Refisolone for the Treatment of Moderate to Severe Vasomotor Symptoms (Hot Flashes) due to Menopause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Refisolone is our non-hormonal, non-systemic, as-needed pherine product candidate under development for the treatment of moderate to severe VMS (hot flashes) due to menopause, and potentially for the treatment of additional women’s health-focused indications. Refisolone’s proposed MOA is fundamentally differentiated from all currently approved treatments for VMS (hot flashes) due to menopause. Administration of low microgram doses of refisolone appears to rapidly activate peripheral nasal chemosensory neurons that modulate the nasal-limbic amygdala-hypothalamic depressed mood and thermoregulatory neurocircuits. Notably, in vitro studies showed that refisolone had no observed engagement with hormonal receptors. An in vivo study in mice showed no observed estrogenic and/or androgenic activity and no changes in weight of the uterus or seminal vesicles after intranasal administration. Additionally, in an in vitro study refisolone did not exert observable effects on receptor targets with known abuse potential. Furthermore, a clinical study in human volunteers showed no detectable refisolone in blood plasma after administration of 12.8 ug/day, indicating the non-systemic nature of refisolone's potential therapeutic benefit.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In a randomized, double-blind, placebo-controlled exploratory Phase 2A clinical study of refisolone conducted in Mexico and designed to explore the efficacy, safety, and tolerability of intranasal administration of refisolone for the management of menopausal hot flashes in women, refisolone produced a statistically significant reduction in the daily number of hot flashes compared to placebo at the end of the first week of treatment (p=&lt;0.001), and the improvement was maintained through each treatment week until the end of the four consecutive week treatment period. Refisolone was well-tolerated with no treatment-related serious adverse events (</w:t>
      </w:r>
      <w:r>
        <w:rPr>
          <w:rFonts w:ascii="Times New Roman;serif" w:hAnsi="Times New Roman;serif"/>
          <w:b w:val="false"/>
          <w:i/>
          <w:color w:val="000000"/>
          <w:sz w:val="20"/>
        </w:rPr>
        <w:t>SAEs</w:t>
      </w:r>
      <w:r>
        <w:rPr>
          <w:rFonts w:ascii="Times New Roman;serif" w:hAnsi="Times New Roman;serif"/>
          <w:b w:val="false"/>
          <w:color w:val="000000"/>
          <w:sz w:val="20"/>
        </w:rPr>
        <w:t>) reported, and the adverse event profiles were comparable between refisolone and placebo. No subject discontinued participation in the study as a result of adverse events.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In April 2026, we announced that we received a “Study May Proceed” letter from the FDA under our U.S. Investigational New Drug Application (</w:t>
      </w:r>
      <w:r>
        <w:rPr>
          <w:rFonts w:ascii="Times New Roman;serif" w:hAnsi="Times New Roman;serif"/>
          <w:b w:val="false"/>
          <w:i/>
          <w:color w:val="000000"/>
          <w:sz w:val="20"/>
        </w:rPr>
        <w:t>IND</w:t>
      </w:r>
      <w:r>
        <w:rPr>
          <w:rFonts w:ascii="Times New Roman;serif" w:hAnsi="Times New Roman;serif"/>
          <w:b w:val="false"/>
          <w:color w:val="000000"/>
          <w:sz w:val="20"/>
        </w:rPr>
        <w:t>) application for refisolone. Our open IND enables us to pursue further Phase 2 clinical development of refisolone in the U.S. for the treatment of moderate to severe VMS (hot flashes) due to menopause, building on the successful exploratory Phase 2A clinical study described above.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Overview of Premenstrual Dysphoric Disorder</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According to the U.S. National Institutes of Health (</w:t>
      </w:r>
      <w:r>
        <w:rPr>
          <w:rFonts w:ascii="Times New Roman;serif" w:hAnsi="Times New Roman;serif"/>
          <w:b w:val="false"/>
          <w:i/>
          <w:color w:val="000000"/>
          <w:sz w:val="20"/>
        </w:rPr>
        <w:t>NIH</w:t>
      </w:r>
      <w:r>
        <w:rPr>
          <w:rFonts w:ascii="Times New Roman;serif" w:hAnsi="Times New Roman;serif"/>
          <w:b w:val="false"/>
          <w:color w:val="000000"/>
          <w:sz w:val="20"/>
        </w:rPr>
        <w:t>), 5% to 8% of menarcheal (menstruating women) individuals have moderate-to-severe symptoms that can cause significant distress and functional impairment, suggestive of premenstrual dysphoric disorder (</w:t>
      </w:r>
      <w:r>
        <w:rPr>
          <w:rFonts w:ascii="Times New Roman;serif" w:hAnsi="Times New Roman;serif"/>
          <w:b w:val="false"/>
          <w:i/>
          <w:color w:val="000000"/>
          <w:sz w:val="20"/>
        </w:rPr>
        <w:t>PMDD</w:t>
      </w:r>
      <w:r>
        <w:rPr>
          <w:rFonts w:ascii="Times New Roman;serif" w:hAnsi="Times New Roman;serif"/>
          <w:b w:val="false"/>
          <w:color w:val="000000"/>
          <w:sz w:val="20"/>
        </w:rPr>
        <w:t>), a severe, sometimes disabling extension of premenstrual syndrome (</w:t>
      </w:r>
      <w:r>
        <w:rPr>
          <w:rFonts w:ascii="Times New Roman;serif" w:hAnsi="Times New Roman;serif"/>
          <w:b w:val="false"/>
          <w:i/>
          <w:color w:val="000000"/>
          <w:sz w:val="20"/>
        </w:rPr>
        <w:t>PMS</w:t>
      </w:r>
      <w:r>
        <w:rPr>
          <w:rFonts w:ascii="Times New Roman;serif" w:hAnsi="Times New Roman;serif"/>
          <w:b w:val="false"/>
          <w:color w:val="000000"/>
          <w:sz w:val="20"/>
        </w:rPr>
        <w:t xml:space="preserve">). Like PMS, PMDD can cause bloating, breast tenderness, fatigue, and changes in sleep and eating habits but, distinctively, it can also cause extreme mood shifts that can disrupt daily life and damage relationships. The cause of PMDD is not clearly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understood, but it is thought that neurotransmitter systems may trigger PMDD. Treatment of PMDD is aimed at preventing or minimizing symptomology.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Refisolone for Premenstrual Dysphoric Disorder</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In an exploratory, randomized, double-blind, placebo-controlled Phase 2A clinical study of refisolone conducted in Mexico for management of the symptoms of PMDD in subjects with a regular menstrual cycle and at least a one-year history of PMDD, refisolone demonstrated a statistically significant improvement versus placebo in management of the symptoms of PMDD, including negative mood and physical and behavioral symptoms, using the subject-rated Penn Daily Symptom Report (</w:t>
      </w:r>
      <w:r>
        <w:rPr>
          <w:rFonts w:ascii="Times New Roman;serif" w:hAnsi="Times New Roman;serif"/>
          <w:b w:val="false"/>
          <w:i/>
          <w:color w:val="000000"/>
          <w:sz w:val="20"/>
        </w:rPr>
        <w:t>DSR</w:t>
      </w:r>
      <w:r>
        <w:rPr>
          <w:rFonts w:ascii="Times New Roman;serif" w:hAnsi="Times New Roman;serif"/>
          <w:b w:val="false"/>
          <w:color w:val="000000"/>
          <w:sz w:val="20"/>
        </w:rPr>
        <w:t>). Refisolone was well-tolerated with no SAEs.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Itruvone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Overview of Major Depressive Disorder</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Depression is a serious medical condition and a global public health concern that can arise at any time during a person's life. According to the World Health Organization (</w:t>
      </w:r>
      <w:r>
        <w:rPr>
          <w:rFonts w:ascii="Times New Roman;serif" w:hAnsi="Times New Roman;serif"/>
          <w:b w:val="false"/>
          <w:i/>
          <w:color w:val="000000"/>
          <w:sz w:val="20"/>
        </w:rPr>
        <w:t>WHO</w:t>
      </w:r>
      <w:r>
        <w:rPr>
          <w:rFonts w:ascii="Times New Roman;serif" w:hAnsi="Times New Roman;serif"/>
          <w:b w:val="false"/>
          <w:color w:val="000000"/>
          <w:sz w:val="20"/>
        </w:rPr>
        <w:t>), depression affects over 300 million people worldwide. The U.S. National Institute of Mental Health (</w:t>
      </w:r>
      <w:r>
        <w:rPr>
          <w:rFonts w:ascii="Times New Roman;serif" w:hAnsi="Times New Roman;serif"/>
          <w:b w:val="false"/>
          <w:i/>
          <w:color w:val="000000"/>
          <w:sz w:val="20"/>
        </w:rPr>
        <w:t>NIMH</w:t>
      </w:r>
      <w:r>
        <w:rPr>
          <w:rFonts w:ascii="Times New Roman;serif" w:hAnsi="Times New Roman;serif"/>
          <w:b w:val="false"/>
          <w:color w:val="000000"/>
          <w:sz w:val="20"/>
        </w:rPr>
        <w:t>) reports that approximately 21 million adults in the U.S., or approximately 8.4% of all adults in the U.S., experienced at least one major depressive episode in 2020. While many individuals will experience a depressive episode at some point during their lifetime, major depressive disorder (</w:t>
      </w:r>
      <w:r>
        <w:rPr>
          <w:rFonts w:ascii="Times New Roman;serif" w:hAnsi="Times New Roman;serif"/>
          <w:b w:val="false"/>
          <w:i/>
          <w:color w:val="000000"/>
          <w:sz w:val="20"/>
        </w:rPr>
        <w:t>MDD</w:t>
      </w:r>
      <w:r>
        <w:rPr>
          <w:rFonts w:ascii="Times New Roman;serif" w:hAnsi="Times New Roman;serif"/>
          <w:b w:val="false"/>
          <w:color w:val="000000"/>
          <w:sz w:val="20"/>
        </w:rPr>
        <w:t xml:space="preserve">) is different. MDD is the chronic, pervasive feeling of utter unhappiness and suffering, which impairs daily functioning. Symptoms of MDD can include a lack of pleasure in activities, changes in appetite resulting in weight fluctuations, insomnia or excessive sleeping, psychomotor agitation, loss of energy or increased fatigue, feelings of worthlessness or inappropriate guilt, difficulty thinking, concentrating or making decisions, and thoughts of death or suicide and attempts at suicide. MDD is the psychiatric diagnosis most commonly associated with suicide.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many people, depression cannot be controlled for any length of time without treatment. However, approximately two out of every three people who are treated for depression do not experience adequate therapeutic benefits from their initial treatment with a standard antidepressant. Even after multiple treatment attempts, about one-third of treated individuals are unable to find a sufficiently effective therapy. Inadequate response to current treatments is among the key reasons MDD is one of the leading public health concerns in the U.S., creating a significant unmet medical need for new agents with fundamentally differentiated MOAs and differentiated safety.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Itruvone for the Treatment of Major Depressive Disorder</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Itruvone is our intranasal pherine product candidate under development for the treatment of MDD. The FDA has granted fast track designation for development of itruvone for MDD. Unlike other antidepressants which rely on single or double-receptor occupancy in the brain, itruvone's proposed MOA involves modulation of the nasal-limbic amygdala anhedonia and depressed mood neurocircuits. The scope of itruvone's neural circuit activation, and potential impact on the brain, appears, in studies completed to date, to be faster and safer than can be achieved with current therapies targeting binding to any specific brain receptor. We believe non-systemic itruvone has the potential to treat MDD without causing the side effects and safety concerns that may be associated with currently approved systemic antidepressant therapies, including, among others, drug-drug interactions, psychological side effects, sexual side effects, sedation, weight gain and suicidal ideation.</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In a randomized, double-blind, placebo-controlled parallel design exploratory Phase 2A clinical trial of itruvone as a stand-alone treatment for MDD conducted in Mexico, itruvone reduced depressive symptoms as soon as one week based on the 17-item Hamilton Depression Scale (HAM-D-17) scores compared to placebo. Itruvone was well-tolerated and did not cause psychological side effects (such as dissociation), sexual side effects, weight gain, or other safety concerns that may be associated with other approved pharmacological therapies for MDD. Positive data from our June 2023 U.S. Phase 1 trial of itruvone demonstrated that there were no reported treatment-related serious adverse events (</w:t>
      </w:r>
      <w:r>
        <w:rPr>
          <w:rFonts w:ascii="Times New Roman;serif" w:hAnsi="Times New Roman;serif"/>
          <w:b w:val="false"/>
          <w:i/>
          <w:color w:val="000000"/>
          <w:sz w:val="20"/>
        </w:rPr>
        <w:t>SAEs</w:t>
      </w:r>
      <w:r>
        <w:rPr>
          <w:rFonts w:ascii="Times New Roman;serif" w:hAnsi="Times New Roman;serif"/>
          <w:b w:val="false"/>
          <w:color w:val="000000"/>
          <w:sz w:val="20"/>
        </w:rPr>
        <w:t>) or discontinuations due to adverse events in the trial, consistent with the previous clinical study of itruvone. We have an open IND for itruvone in the U.S. and plan to pursue Phase 2 clinical development of itruvone in the U.S. for the treatment of MDD, in an effort to build on the positive results from the previous exploratory Phase 2A clinical trial of itruvone in MDD described above.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PH15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Overview of Cognitive and Psychomotor Impairment due to Mental Fatigue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Numerous conditions and disorders, such as shift work disorder, sleep apnea, and narcolepsy, can lead to debilitating sleep deprivation and mental fatigue. The prevalence of these conditions and disorders is high. For example, moderate to severe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sleep apnea affects approximately 20% of adult men and 10% of postmenopausal women. Individuals affected by mental fatigue require improved treatment options with a differentiated safety profile, one without the potential for abuse liability or negative and treatment-limiting side effects and safety concerns that may lead to self-treatment and subsequent substance use disorders.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PH15 for Improvement of Psychomotor Impairment due to Mental Fatigue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PH15 is our intranasal pherine product candidate under development for the improvement of psychomotor impairment caused by mental fatigue. PH15 is thought to target nasal receptors that modulate the nasal-entorhinal cortex area/hippocampus cognition neurocircuits, which are known to be associated with psychomotor activity and cognition, without requiring systemic absorption or direct action on neurons in the brain. PH15 has demonstrated favorable safety data in all clinical trials completed to date and we believe PH15’s potential MOA is differentiated from the MOA of all currently approved treatments to improve psychomotor impairment caused by mental fatigue.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 randomized, double-blind, placebo-controlled, crossover Phase 2A pilot study conducted in Mexico to explore the efficacy, safety, and tolerability of intranasal administration of PH15 on psychomotor performance as measured by reaction time in sleep-deprived participants, PH15 demonstrated a statistically significant improvement in reaction time and the number of errors on both isochronous and stochastic stimuli reactions tests as compared to placebo and caffeine in the sleep-deprived study participants. PH15 was well-tolerated in this study, with no treatment-related SAEs reported. The adverse event profiles of PH15 and placebo were comparable.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evaluating the potential Phase 2 development path forward for PH15 and the manufacturing, nonclinical and Phase 1 clinical programs required to support submission of a U.S. IND to facilitate further potential Phase 2 development of PH15 in the U.S.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PH284</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Overview of Cancer Cachexia</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Cachexia, also known as wasting syndrome, is a complex metabolic syndrome that causes a gradual loss of muscle and body weight. Cachexia is associated with chronic diseases like cancer, AIDS, heart failure, chronic obstructive pulmonary disease, anorexia nervosa, multiple sclerosis, tuberculosis, and anemia. According to the National Cancer Institute (</w:t>
      </w:r>
      <w:r>
        <w:rPr>
          <w:rFonts w:ascii="Times New Roman;serif" w:hAnsi="Times New Roman;serif"/>
          <w:b w:val="false"/>
          <w:i/>
          <w:color w:val="000000"/>
          <w:sz w:val="20"/>
        </w:rPr>
        <w:t>NCI</w:t>
      </w:r>
      <w:r>
        <w:rPr>
          <w:rFonts w:ascii="Times New Roman;serif" w:hAnsi="Times New Roman;serif"/>
          <w:b w:val="false"/>
          <w:color w:val="000000"/>
          <w:sz w:val="20"/>
        </w:rPr>
        <w:t>), cachexia is estimated to occur in up to 80% of people with advanced cancer, depending on the type of cancer and how well they respond to cancer treatment. Cachexia is thought to directly cause up to 30% of cancer deaths, often because of heart or respiratory failure related to muscle loss. Maintaining nutritional support and alleviating cachexia has the potential to improve the underlying condition of cancer. Currently, there are no medical interventions or approved drugs proven to optimally alleviate cachexia.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PH284 for Cancer Cachexia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PH284 is our intranasal pherine product candidate with a novel, rapid-onset, neurocircuitry-focused proposed MOA that, we believe, is differentiated from all current treatments for the loss of appetite associated with chronic disorders, such as cancer or heart disease. PH284 is thought to act by modulating the nasal-limbic amygdala-hypothalamic depressed mood and appetite control neurocircuits.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In a double-blind, placebo-controlled exploratory Phase 2A study in Mexico designed to evaluate the efficacy, safety, and tolerability of intranasal administration of PH284 in female patients diagnosed with cachexia (induced by chronic loss of appetite) due to terminal cancer, PH284 induced a cumulative effect on mean Subjective Feeling of Hunger (</w:t>
      </w:r>
      <w:r>
        <w:rPr>
          <w:rFonts w:ascii="Times New Roman;serif" w:hAnsi="Times New Roman;serif"/>
          <w:b w:val="false"/>
          <w:i/>
          <w:color w:val="000000"/>
          <w:sz w:val="20"/>
        </w:rPr>
        <w:t>SFH</w:t>
      </w:r>
      <w:r>
        <w:rPr>
          <w:rFonts w:ascii="Times New Roman;serif" w:hAnsi="Times New Roman;serif"/>
          <w:b w:val="false"/>
          <w:color w:val="000000"/>
          <w:sz w:val="20"/>
        </w:rPr>
        <w:t>) scores, as compared to placebo. No unusual changes in body weight were observed in either the PH284 or placebo groups, though on average, there was a small gain in body weight for PH284 versus a small loss in placebo. PH284 demonstrated no serious treatment-related adverse events, and adverse events reported for the PH284 group were similar to those reported in the placebo-treated group. All the adverse events reported were attributed to the underlying medical condition (cancer) and were not deemed to be related to the administration of PH284 or placebo.</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evaluating the potential path forward for PH284, including an assessment of the manufacturing, nonclinical and Phase 1 clinical programs required to support a U.S. IND application for potential further Phase 2 clinical development of PH284 in the U.S. for the treatment of cancer cachexia or other appetite-related disorders.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AV-101</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i/>
          <w:color w:val="000000"/>
          <w:sz w:val="20"/>
        </w:rPr>
        <w:t>AV-101</w:t>
      </w:r>
      <w:r>
        <w:rPr>
          <w:color w:val="000000"/>
        </w:rPr>
        <w:t xml:space="preserve"> </w:t>
      </w:r>
      <w:r>
        <w:rPr>
          <w:rFonts w:ascii="Times New Roman;serif" w:hAnsi="Times New Roman;serif"/>
          <w:b/>
          <w:i/>
          <w:color w:val="000000"/>
          <w:sz w:val="20"/>
        </w:rPr>
        <w:t>for NMDAR-related Neurological Disorders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AV-101 (4-Cl-KYN) is our oral prodrug candidate that targets the NMDAR (N-methyl-D-aspartate receptor), an ionotropic glutamate receptor in the brain. Abnormal NMDAR function is associated with numerous neurological diseases and disorders. The active metabolite of AV-101, 7-chloro-kynurenic acid (7-Cl-KYNA), is a potent and selective full antagonist of the glycine binding site of the NMDAR that inhibits the function of the NMDAR. Unlike ketamine and many other NMDAR antagonists, 7-Cl-KYNA is not an ion channel blocker. In clinical and nonclinical testing completed to date, AV-101 has demonstrated favorable oral bioavailability and pharmacokinetic results. No binding of AV-101 or 7-Cl-KYNA to off-site targets was identified by an extensive receptor screening study. Moreover, in all clinical trials completed to date, AV-101 has been well-tolerated with no psychological side effects or safety concerns and no treatment-related SAEs that are often observed with classic channel-blocking NMDAR antagonists such as ketamine and amantadine. Nonclinical results also indicate that chronic administration of 4-Cl-KYN induces hippocampal neurogenesis and increases endogenous levels of KYNA, which also is a functional NMDAR glycine site antagonist.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Based on observations and findings from preclinical, animal model, and human clinical studies, we believe AV-101 has the potential to become an oral treatment alternative for certain neuroscience disorders involving the NMDAR, including potentially levodopa-induced dyskinesia (</w:t>
      </w:r>
      <w:r>
        <w:rPr>
          <w:rFonts w:ascii="Times New Roman;serif" w:hAnsi="Times New Roman;serif"/>
          <w:b w:val="false"/>
          <w:i/>
          <w:color w:val="000000"/>
          <w:sz w:val="20"/>
        </w:rPr>
        <w:t>LID</w:t>
      </w:r>
      <w:r>
        <w:rPr>
          <w:rFonts w:ascii="Times New Roman;serif" w:hAnsi="Times New Roman;serif"/>
          <w:b w:val="false"/>
          <w:color w:val="000000"/>
          <w:sz w:val="20"/>
        </w:rPr>
        <w:t>) and neuropathic pain (</w:t>
      </w:r>
      <w:r>
        <w:rPr>
          <w:rFonts w:ascii="Times New Roman;serif" w:hAnsi="Times New Roman;serif"/>
          <w:b w:val="false"/>
          <w:i/>
          <w:color w:val="000000"/>
          <w:sz w:val="20"/>
        </w:rPr>
        <w:t>NP</w:t>
      </w:r>
      <w:r>
        <w:rPr>
          <w:rFonts w:ascii="Times New Roman;serif" w:hAnsi="Times New Roman;serif"/>
          <w:b w:val="false"/>
          <w:color w:val="000000"/>
          <w:sz w:val="20"/>
        </w:rPr>
        <w:t>). We do not anticipate further development and commercialization of AV-101 on our own. We are currently assessing whether there is a path forward for potential third-party collaborative manufacturing, development and commercialization of AV-101 for one or more neurological disorders involving the NMDAR.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FDA has granted fast track designation for the investigation of AV-101 for the treatment of NP and for the adjunctive treatment of MDD.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Subsidiaries</w:t>
      </w:r>
    </w:p>
    <w:p>
      <w:pPr>
        <w:pStyle w:val="TextBody"/>
        <w:bidi w:val="0"/>
        <w:spacing w:lineRule="auto" w:line="288" w:before="200" w:after="283"/>
        <w:jc w:val="both"/>
        <w:rPr/>
      </w:pPr>
      <w:r>
        <w:rPr>
          <w:rFonts w:ascii="Times New Roman;serif" w:hAnsi="Times New Roman;serif"/>
          <w:b w:val="false"/>
          <w:color w:val="000000"/>
          <w:sz w:val="20"/>
        </w:rPr>
        <w:t>Our wholly-owned subsidiaries consist of Pherin Pharmaceuticals, Inc., a Delaware corporation (</w:t>
      </w:r>
      <w:r>
        <w:rPr>
          <w:rFonts w:ascii="Times New Roman;serif" w:hAnsi="Times New Roman;serif"/>
          <w:b w:val="false"/>
          <w:i/>
          <w:color w:val="000000"/>
          <w:sz w:val="20"/>
        </w:rPr>
        <w:t>Pherin</w:t>
      </w:r>
      <w:r>
        <w:rPr>
          <w:rFonts w:ascii="Times New Roman;serif" w:hAnsi="Times New Roman;serif"/>
          <w:b w:val="false"/>
          <w:color w:val="000000"/>
          <w:sz w:val="20"/>
        </w:rPr>
        <w:t>), and Vistastem, Inc., a California corporation founded in 1998 (</w:t>
      </w:r>
      <w:r>
        <w:rPr>
          <w:rFonts w:ascii="Times New Roman;serif" w:hAnsi="Times New Roman;serif"/>
          <w:b w:val="false"/>
          <w:i/>
          <w:color w:val="000000"/>
          <w:sz w:val="20"/>
        </w:rPr>
        <w:t>Vistastem</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Operations Overview and Results of Operations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Financial Overview</w:t>
      </w:r>
    </w:p>
    <w:p>
      <w:pPr>
        <w:pStyle w:val="TextBody"/>
        <w:bidi w:val="0"/>
        <w:spacing w:lineRule="auto" w:line="268" w:before="0" w:after="0"/>
        <w:jc w:val="both"/>
        <w:rPr/>
      </w:pPr>
      <w:r>
        <w:rPr>
          <w:rFonts w:ascii="Times New Roman;serif" w:hAnsi="Times New Roman;serif"/>
          <w:b w:val="false"/>
          <w:color w:val="000000"/>
          <w:sz w:val="20"/>
        </w:rPr>
        <w:t>Since inception, we have devoted substantial resources to advancing initiatives related to research, development, and contract manufacturing of our neuroscience pipeline, including initiatives related to manufacturing processes, analytical methods and production programs for drug substance and finished drug product, as well as for preclinical studies and clinical trials focused on development and potential commercialization of our product candidates, with substantial emphasis on our lead pherine product candidates, fasedienol, itruvone, and refisolone, for the acute treatment of SAD, and treatment of MDD and VMS due to menopause, respectively. We also have ongoing initiatives for creating, protecting and patenting intellectual property (</w:t>
      </w:r>
      <w:r>
        <w:rPr>
          <w:rFonts w:ascii="Times New Roman;serif" w:hAnsi="Times New Roman;serif"/>
          <w:b w:val="false"/>
          <w:i/>
          <w:color w:val="000000"/>
          <w:sz w:val="20"/>
        </w:rPr>
        <w:t>IP</w:t>
      </w:r>
      <w:r>
        <w:rPr>
          <w:rFonts w:ascii="Times New Roman;serif" w:hAnsi="Times New Roman;serif"/>
          <w:b w:val="false"/>
          <w:color w:val="000000"/>
          <w:sz w:val="20"/>
        </w:rPr>
        <w:t xml:space="preserve">) related to our neuroscience product candidates and nasal spray delivery device technologies. </w:t>
      </w:r>
    </w:p>
    <w:p>
      <w:pPr>
        <w:pStyle w:val="TextBody"/>
        <w:bidi w:val="0"/>
        <w:spacing w:lineRule="auto" w:line="288" w:before="200" w:after="283"/>
        <w:jc w:val="both"/>
        <w:rPr/>
      </w:pPr>
      <w:r>
        <w:rPr>
          <w:rFonts w:ascii="Times New Roman;serif" w:hAnsi="Times New Roman;serif"/>
          <w:b w:val="false"/>
          <w:color w:val="000000"/>
          <w:sz w:val="20"/>
        </w:rPr>
        <w:t>At June 30, 2026, we had an accumulated deficit of approximately $490.3 million. Our net loss for the year ended March 31, 2026 (</w:t>
      </w:r>
      <w:r>
        <w:rPr>
          <w:rFonts w:ascii="Times New Roman;serif" w:hAnsi="Times New Roman;serif"/>
          <w:b w:val="false"/>
          <w:i/>
          <w:color w:val="000000"/>
          <w:sz w:val="20"/>
        </w:rPr>
        <w:t>Fiscal 2026</w:t>
      </w:r>
      <w:r>
        <w:rPr>
          <w:rFonts w:ascii="Times New Roman;serif" w:hAnsi="Times New Roman;serif"/>
          <w:b w:val="false"/>
          <w:color w:val="000000"/>
          <w:sz w:val="20"/>
        </w:rPr>
        <w:t>) and the year ended March 31, 2025 (</w:t>
      </w:r>
      <w:r>
        <w:rPr>
          <w:rFonts w:ascii="Times New Roman;serif" w:hAnsi="Times New Roman;serif"/>
          <w:b w:val="false"/>
          <w:i/>
          <w:color w:val="000000"/>
          <w:sz w:val="20"/>
        </w:rPr>
        <w:t>Fiscal 2025</w:t>
      </w:r>
      <w:r>
        <w:rPr>
          <w:rFonts w:ascii="Times New Roman;serif" w:hAnsi="Times New Roman;serif"/>
          <w:b w:val="false"/>
          <w:color w:val="000000"/>
          <w:sz w:val="20"/>
        </w:rPr>
        <w:t>) was approximately $69.7 million and $51.4 million, respectively. We incurred a net loss of approximately $13.0 million and $15.1 million for the three months ended June 30, 2026 and 2025, respectively. We expect losses to continue for the foreseeable future as we engage in further research, clinical and nonclinical development, contract manufacturing and regulatory activities related to fasedienol, itruvone, refisolone and our other pherine product candidates. We have not yet achieved revenue-generating status from any of our product candidates or technologies in amounts sufficient to sustain our operations and fund our strategic business plans.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Sublicense and Other Revenue</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Sublicense and other revenue consist of revenue recognized under our License and Collaboration Agreement with AffaMed Therapeutics, Inc. (</w:t>
      </w:r>
      <w:r>
        <w:rPr>
          <w:rFonts w:ascii="Times New Roman;serif" w:hAnsi="Times New Roman;serif"/>
          <w:b w:val="false"/>
          <w:i/>
          <w:color w:val="000000"/>
          <w:sz w:val="20"/>
        </w:rPr>
        <w:t>the Affamed Agreement</w:t>
      </w:r>
      <w:r>
        <w:rPr>
          <w:rFonts w:ascii="Times New Roman;serif" w:hAnsi="Times New Roman;serif"/>
          <w:b w:val="false"/>
          <w:color w:val="000000"/>
          <w:sz w:val="20"/>
        </w:rPr>
        <w:t xml:space="preserve">) and our Exclusive Negotiation Agreement (the </w:t>
      </w:r>
      <w:r>
        <w:rPr>
          <w:rFonts w:ascii="Times New Roman;serif" w:hAnsi="Times New Roman;serif"/>
          <w:b w:val="false"/>
          <w:i/>
          <w:color w:val="000000"/>
          <w:sz w:val="20"/>
        </w:rPr>
        <w:t>Negotiation Agreement</w:t>
      </w:r>
      <w:r>
        <w:rPr>
          <w:rFonts w:ascii="Times New Roman;serif" w:hAnsi="Times New Roman;serif"/>
          <w:b w:val="false"/>
          <w:color w:val="000000"/>
          <w:sz w:val="20"/>
        </w:rPr>
        <w:t>) with Fuji Pharma Co., Ltd. Revenue is recognized as identified performance obligations are satisfied.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Operating Expense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date, our research and development expense has consisted primarily of external and internal costs related to the development of our product candidates and development programs. Our research and development expense primarily includes: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External costs, including:</w:t>
      </w:r>
    </w:p>
    <w:p>
      <w:pPr>
        <w:pStyle w:val="TextBody"/>
        <w:bidi w:val="0"/>
        <w:spacing w:before="0" w:after="0"/>
        <w:jc w:val="both"/>
        <w:rPr/>
      </w:pPr>
      <w:r>
        <w:rPr/>
      </w:r>
    </w:p>
    <w:p>
      <w:pPr>
        <w:pStyle w:val="TextBody"/>
        <w:bidi w:val="0"/>
        <w:spacing w:lineRule="auto" w:line="276" w:before="0" w:after="0"/>
        <w:jc w:val="both"/>
        <w:rPr/>
      </w:pPr>
      <w:r>
        <w:rPr>
          <w:color w:val="000000"/>
        </w:rPr>
        <w:t>◦</w:t>
      </w:r>
      <w:r>
        <w:rPr>
          <w:rFonts w:ascii="Times New Roman;serif" w:hAnsi="Times New Roman;serif"/>
          <w:b w:val="false"/>
          <w:color w:val="000000"/>
          <w:sz w:val="20"/>
        </w:rPr>
        <w:t>expenses incurred in connection with planning, preparing for and conducting clinical trials, including investigator grants and site payments, and pass-through expenses and expenses incurred under agreements with our contract research organizations (</w:t>
      </w:r>
      <w:r>
        <w:rPr>
          <w:rFonts w:ascii="Times New Roman;serif" w:hAnsi="Times New Roman;serif"/>
          <w:b w:val="false"/>
          <w:i/>
          <w:color w:val="000000"/>
          <w:sz w:val="20"/>
        </w:rPr>
        <w:t>CROs</w:t>
      </w:r>
      <w:r>
        <w:rPr>
          <w:rFonts w:ascii="Times New Roman;serif" w:hAnsi="Times New Roman;serif"/>
          <w:b w:val="false"/>
          <w:color w:val="000000"/>
          <w:sz w:val="20"/>
        </w:rPr>
        <w:t>), central laboratories and other vendors and service providers engaged to conduct our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expenses incurred in connection with the discovery and preclinical development of our product candidates, including under agreements with third parties, such as consultants and CROs;</w:t>
      </w:r>
    </w:p>
    <w:p>
      <w:pPr>
        <w:pStyle w:val="TextBody"/>
        <w:bidi w:val="0"/>
        <w:spacing w:before="0" w:after="0"/>
        <w:jc w:val="both"/>
        <w:rPr/>
      </w:pPr>
      <w:r>
        <w:rPr/>
      </w:r>
    </w:p>
    <w:p>
      <w:pPr>
        <w:pStyle w:val="TextBody"/>
        <w:bidi w:val="0"/>
        <w:spacing w:lineRule="auto" w:line="276" w:before="0" w:after="0"/>
        <w:jc w:val="both"/>
        <w:rPr/>
      </w:pPr>
      <w:r>
        <w:rPr>
          <w:color w:val="000000"/>
        </w:rPr>
        <w:t>◦</w:t>
      </w:r>
      <w:r>
        <w:rPr>
          <w:rFonts w:ascii="Times New Roman;serif" w:hAnsi="Times New Roman;serif"/>
          <w:b w:val="false"/>
          <w:color w:val="000000"/>
          <w:sz w:val="20"/>
        </w:rPr>
        <w:t>costs associated with consultants for chemistry, manufacturing, and control (</w:t>
      </w:r>
      <w:r>
        <w:rPr>
          <w:rFonts w:ascii="Times New Roman;serif" w:hAnsi="Times New Roman;serif"/>
          <w:b w:val="false"/>
          <w:i/>
          <w:color w:val="000000"/>
          <w:sz w:val="20"/>
        </w:rPr>
        <w:t>CMC</w:t>
      </w:r>
      <w:r>
        <w:rPr>
          <w:rFonts w:ascii="Times New Roman;serif" w:hAnsi="Times New Roman;serif"/>
          <w:b w:val="false"/>
          <w:color w:val="000000"/>
          <w:sz w:val="20"/>
        </w:rPr>
        <w:t>) development, and other manufacturing-related services;</w:t>
      </w:r>
    </w:p>
    <w:p>
      <w:pPr>
        <w:pStyle w:val="TextBody"/>
        <w:bidi w:val="0"/>
        <w:spacing w:before="0" w:after="0"/>
        <w:jc w:val="both"/>
        <w:rPr/>
      </w:pPr>
      <w:r>
        <w:rPr/>
      </w:r>
    </w:p>
    <w:p>
      <w:pPr>
        <w:pStyle w:val="TextBody"/>
        <w:bidi w:val="0"/>
        <w:spacing w:lineRule="auto" w:line="276" w:before="0" w:after="0"/>
        <w:jc w:val="both"/>
        <w:rPr/>
      </w:pPr>
      <w:r>
        <w:rPr>
          <w:color w:val="000000"/>
        </w:rPr>
        <w:t>◦</w:t>
      </w:r>
      <w:r>
        <w:rPr>
          <w:rFonts w:ascii="Times New Roman;serif" w:hAnsi="Times New Roman;serif"/>
          <w:b w:val="false"/>
          <w:color w:val="000000"/>
          <w:sz w:val="20"/>
        </w:rPr>
        <w:t>the cost of manufacturing compounds for use in our nonclinical studies and clinical trials, including under agreements with third parties, such as consultants and third-party contract development and manufacturing organizations (</w:t>
      </w:r>
      <w:r>
        <w:rPr>
          <w:rFonts w:ascii="Times New Roman;serif" w:hAnsi="Times New Roman;serif"/>
          <w:b w:val="false"/>
          <w:i/>
          <w:color w:val="000000"/>
          <w:sz w:val="20"/>
        </w:rPr>
        <w:t>CDMOs</w:t>
      </w:r>
      <w:r>
        <w:rPr>
          <w:rFonts w:ascii="Times New Roman;serif" w:hAnsi="Times New Roman;serif"/>
          <w:b w:val="false"/>
          <w:color w:val="000000"/>
          <w:sz w:val="20"/>
        </w:rPr>
        <w:t>); and</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costs related to compliance with development regulatory requirements.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Internal costs, including:</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employee-related expenses, including salaries, related benefits, travel and share-based compensation expenses for employees engaged in research and development functions;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costs of laboratory supplies and acquiring and developing preclinical study materials; and</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facilities, depreciation and other expenses, which include allocated expenses for rent and maintenance of facilities, and supplies.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performed at each reporting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There are numerous factors associated with the successful research and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preclinical and clinical development programs and regulatory pathways. Product candidates in later stages of development generally have higher development costs than those in earlier stages of development.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research and development expenses may vary significantly based on a wide variety of factors, such as: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number and scope, rate of progress, expense and results of our preclinical development activities and clinical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number of trials required for regulatory approval;</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number of sites included in each of our clinical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length of time required to enroll and randomize eligible patients in our clinical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number of patients that participate in our clinical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ability to identify appropriate patients eligible for our clinical trials;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number of doses that patients receive during our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drop-out or discontinuation rates of patients;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potential additional safety monitoring requested by regulatory agencies;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duration of patient participation in the clinical trials and follow-up;</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phase of development of the product candidate;</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efficacy and safety profile of the product candidate;</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timing, receipt, and terms of any approvals from applicable regulatory authorities including the FDA and non-U.S. regulators;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maintaining a continued acceptable safety profile of our product candidates following approval, if any;</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cost and timing of manufacturing our product candidates;</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significant and changing government regulation and regulatory guidance;</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the impact of any business interruptions to our operations or to those of the third parties with whom we work;</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adverse effects on the financial markets, the global economy, the supply chain and our expenses due to pandemics or other epidemic diseases, geopolitical instability, government shutdowns and reductions in force, inflation, rising interest rates, government tariffs and other factors; and</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0"/>
        </w:rPr>
        <w:t>the extent to which we establish additional strategic collaborations or other arrangements.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research and development of any of our product candidates could significantly change the costs and timing associated with the research and development of that product candidate. The process of conducting the necessary preclinical and clinical research and development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salaries, bonuses, related benefits and stock-based compensation expense for personnel in executive, legal, finance and administrative functions; professional fees for legal, consulting, accounting and audit services; and travel expenses, technology costs and other allocated expenses. We expense general and administrative expenses in the periods in which they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color w:val="000000"/>
          <w:sz w:val="20"/>
        </w:rPr>
        <w:t>Results of Operations for the Three Months Ended June 30, 2026</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results of our operations for the three months ended June 30, 2026 and 2025 (in thousands):</w:t>
      </w:r>
    </w:p>
    <w:tbl>
      <w:tblPr>
        <w:tblW w:w="5108" w:type="dxa"/>
        <w:jc w:val="center"/>
        <w:tblInd w:w="0" w:type="dxa"/>
        <w:tblLayout w:type="fixed"/>
        <w:tblCellMar>
          <w:top w:w="28" w:type="dxa"/>
          <w:left w:w="28" w:type="dxa"/>
          <w:bottom w:w="28" w:type="dxa"/>
          <w:right w:w="28" w:type="dxa"/>
        </w:tblCellMar>
      </w:tblPr>
      <w:tblGrid>
        <w:gridCol w:w="906"/>
        <w:gridCol w:w="794"/>
        <w:gridCol w:w="804"/>
        <w:gridCol w:w="211"/>
        <w:gridCol w:w="796"/>
        <w:gridCol w:w="109"/>
        <w:gridCol w:w="109"/>
        <w:gridCol w:w="109"/>
        <w:gridCol w:w="109"/>
        <w:gridCol w:w="211"/>
        <w:gridCol w:w="79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(15,804)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(15,095)</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i/>
          <w:color w:val="000000"/>
          <w:sz w:val="20"/>
        </w:rPr>
        <w:t>Revenue</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$1.5 million in sublicense and other revenue for the three months ended June 30, 2026, as compared to $0.2 million for the three months ended June 30, 2025. The increase was primarily attributable to the recognition of $1.3 million of revenue under the Negotiation Agreement with Fuji Pharma upon satisfaction of the related performance obligation following the expiration of the Exclusive Negotiation Period in June 2026. No deferred revenue remains under that agreement. We expect to recognize the remaining deferred revenue under the AffaMed Agreement of $0.2 million during the remainder of the fiscal year ending March 31, 2027.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Accordingly, absent the achievement of milestones under the AffaMed Agreement, or the execution of similar agreements in the future, if any, we expect sublicense and other revenue in future periods to be substantially lower than the amount recognized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 for the three months ended June 30, 2026 and 2025 (in thousands):</w:t>
      </w:r>
    </w:p>
    <w:tbl>
      <w:tblPr>
        <w:tblW w:w="8303" w:type="dxa"/>
        <w:jc w:val="center"/>
        <w:tblInd w:w="0" w:type="dxa"/>
        <w:tblLayout w:type="fixed"/>
        <w:tblCellMar>
          <w:top w:w="28" w:type="dxa"/>
          <w:left w:w="28" w:type="dxa"/>
          <w:bottom w:w="28" w:type="dxa"/>
          <w:right w:w="28" w:type="dxa"/>
        </w:tblCellMar>
      </w:tblPr>
      <w:tblGrid>
        <w:gridCol w:w="2121"/>
        <w:gridCol w:w="1859"/>
        <w:gridCol w:w="1869"/>
        <w:gridCol w:w="211"/>
        <w:gridCol w:w="721"/>
        <w:gridCol w:w="109"/>
        <w:gridCol w:w="109"/>
        <w:gridCol w:w="109"/>
        <w:gridCol w:w="109"/>
        <w:gridCol w:w="211"/>
        <w:gridCol w:w="721"/>
        <w:gridCol w:w="154"/>
      </w:tblGrid>
      <w:tr>
        <w:trPr/>
        <w:tc>
          <w:tcPr>
            <w:tcW w:w="212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and nonclinical studies and development expense by program</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Fasedienol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clinical and nonclinical studies and development expense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professional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all other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was $10.9 million for the three months ended June 30, 2026, as compared to $11.7 million for the three months ended June 30,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of $0.8 million in research and development expense for the three months ended June 30, 2026 as compared to the same period in 2025 was primarily due to a decrease in clinical development expense of $1.0 million related to our U.S. registration-directed PALISADE program for fasedienol for the acute treatment of SAD, and an increase of $0.2 million in connection with increased headcount and retention bonuses.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we began realizing a decrease in research and development expenses as a result of cash preservation measures implemented following the announcement of top-line results from our PALISADE-3 clinical trial. We expect research and development expenses to continue to decrease in future periods as a result of these cash preservation measures and the conclusion of our current Phase 3 PALISADE-4 trial and Repeat Dose Study. Future research and development expenses will be dependent on feedback from FDA regarding a potential registrational pathway for fasedienol for the acute treatment of SAD supported by a single, future multi-dose Phase 3 trial with the LSAS as the primary endpoint, as well as confirmatory evidence from the PALISADE program and aggregate safety data collected to date. At this time, we cannot accurately estimate or know the nature, timing and costs of the efforts that will be necessary to complete the nonclinical and clinical development of any pherine product candidates we are developing or may develop. A change in the outcome of any number of variables could significantly alter the costs and timing associated with the development of any of our pherine product candidates.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was $3.9 million for the three months ended June 30, 2026, as compared to $4.4 million for the three months ended June 30,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decrease of $0.5 million in general and administrative expense for the three months ended June 30, 2026, as compared to the same period in 2025, reflects a $0.2 million decrease in personnel costs driven by reduced headcount following our March 2026 reduction in force, together with decreases of $0.2 million in consulting and professional fees and $0.1 million in insurance, occupancy and other costs.</w:t>
      </w:r>
    </w:p>
    <w:p>
      <w:pPr>
        <w:pStyle w:val="TextBody"/>
        <w:bidi w:val="0"/>
        <w:spacing w:lineRule="auto" w:line="268" w:before="0" w:after="0"/>
        <w:jc w:val="both"/>
        <w:rPr/>
      </w:pPr>
      <w:r>
        <w:rPr>
          <w:rFonts w:ascii="Times New Roman;serif" w:hAnsi="Times New Roman;serif"/>
          <w:b w:val="false"/>
          <w:color w:val="000000"/>
          <w:sz w:val="20"/>
        </w:rPr>
        <w:t>We expect general and administrative expenses to remain at current levels as a result of our cash preservation measures after the results of PALISADE-3, and our March 2026 reduction in force. Future general and administrative expenses will be dependent on feedback from FDA regarding</w:t>
      </w:r>
      <w:r>
        <w:rPr>
          <w:color w:val="333333"/>
        </w:rPr>
        <w:t xml:space="preserve"> </w:t>
      </w:r>
      <w:r>
        <w:rPr>
          <w:rFonts w:ascii="Times New Roman;serif" w:hAnsi="Times New Roman;serif"/>
          <w:b w:val="false"/>
          <w:color w:val="333333"/>
          <w:sz w:val="20"/>
        </w:rPr>
        <w:t>the potential registrational pathway for fasedienol for the acute treatment of SAD described in the preceding section.</w:t>
      </w:r>
      <w:r>
        <w:rPr>
          <w:color w:val="000000"/>
        </w:rPr>
        <w:t xml:space="preserv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Interest income, net, decreased for the three months ended June 30, 2026 as compared to the same period in 2025 primarily due to a decrease in amounts invested in interest bearing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68" w:before="240" w:after="283"/>
        <w:jc w:val="both"/>
        <w:rPr/>
      </w:pPr>
      <w:r>
        <w:rPr>
          <w:rFonts w:ascii="Times New Roman;serif" w:hAnsi="Times New Roman;serif"/>
          <w:b w:val="false"/>
          <w:color w:val="000000"/>
          <w:sz w:val="20"/>
        </w:rPr>
        <w:t xml:space="preserve">Since our inception, we have not generated any revenue from product sales and have incurred significant operating losses and negative cash flows from our operations. To date we have financed our operations and technology acquisitions primarily through the issuance and sale of our equity securities for cash proceeds of approximately $372.2 million, as well as from an aggregate of approximately $22.7 million of government research grant awards (excluding the fair market value of government-sponsored and funded clinical trials), strategic collaboration payments, intellectual property licensing payments, and other revenues. Additionally, we have issued equity securities with an approximate value at issuance of $41.3 million for non-cash acquisitions of product licenses, consideration for our acquisition of Pherin Pharmaceuticals, Inc. in February 2023 (the </w:t>
      </w:r>
      <w:r>
        <w:rPr>
          <w:rFonts w:ascii="Times New Roman;serif" w:hAnsi="Times New Roman;serif"/>
          <w:b w:val="false"/>
          <w:i/>
          <w:color w:val="000000"/>
          <w:sz w:val="20"/>
        </w:rPr>
        <w:t>Pherin Acquisition</w:t>
      </w:r>
      <w:r>
        <w:rPr>
          <w:rFonts w:ascii="Times New Roman;serif" w:hAnsi="Times New Roman;serif"/>
          <w:b w:val="false"/>
          <w:color w:val="000000"/>
          <w:sz w:val="20"/>
        </w:rPr>
        <w:t>), and in settlements of certain liabilities, including liabilities for professional services rendered to us or as compensation for such services.</w:t>
      </w:r>
    </w:p>
    <w:p>
      <w:pPr>
        <w:pStyle w:val="TextBody"/>
        <w:bidi w:val="0"/>
        <w:spacing w:lineRule="auto" w:line="268" w:before="200" w:after="283"/>
        <w:jc w:val="both"/>
        <w:rPr/>
      </w:pPr>
      <w:r>
        <w:rPr>
          <w:rFonts w:ascii="Times New Roman;serif" w:hAnsi="Times New Roman;serif"/>
          <w:b w:val="false"/>
          <w:color w:val="000000"/>
          <w:sz w:val="20"/>
        </w:rPr>
        <w:t>In addition, we received net proceeds of approximately $93.5 million from an underwritten public offering of our securities in October 2023 (</w:t>
      </w:r>
      <w:r>
        <w:rPr>
          <w:rFonts w:ascii="Times New Roman;serif" w:hAnsi="Times New Roman;serif"/>
          <w:b w:val="false"/>
          <w:i/>
          <w:color w:val="000000"/>
          <w:sz w:val="20"/>
        </w:rPr>
        <w:t>October 2023 Public Offering</w:t>
      </w:r>
      <w:r>
        <w:rPr>
          <w:rFonts w:ascii="Times New Roman;serif" w:hAnsi="Times New Roman;serif"/>
          <w:b w:val="false"/>
          <w:color w:val="000000"/>
          <w:sz w:val="20"/>
        </w:rPr>
        <w:t>), and $1.5 million in connection with the execution of the Negotiation Agreement with Fuji Pharma Co., Ltd. in September 2023.</w:t>
      </w:r>
    </w:p>
    <w:p>
      <w:pPr>
        <w:pStyle w:val="TextBody"/>
        <w:bidi w:val="0"/>
        <w:spacing w:lineRule="auto" w:line="268" w:before="200" w:after="283"/>
        <w:jc w:val="both"/>
        <w:rPr/>
      </w:pPr>
      <w:r>
        <w:rPr>
          <w:rFonts w:ascii="Times New Roman;serif" w:hAnsi="Times New Roman;serif"/>
          <w:b w:val="false"/>
          <w:color w:val="000000"/>
          <w:sz w:val="20"/>
        </w:rPr>
        <w:t xml:space="preserve">In May 2021, we entered into an Open Market Sale Agreement, as amended, (the </w:t>
      </w:r>
      <w:r>
        <w:rPr>
          <w:rFonts w:ascii="Times New Roman;serif" w:hAnsi="Times New Roman;serif"/>
          <w:b w:val="false"/>
          <w:i/>
          <w:color w:val="000000"/>
          <w:sz w:val="20"/>
        </w:rPr>
        <w:t>Sales Agreement</w:t>
      </w:r>
      <w:r>
        <w:rPr>
          <w:rFonts w:ascii="Times New Roman;serif" w:hAnsi="Times New Roman;serif"/>
          <w:b w:val="false"/>
          <w:color w:val="000000"/>
          <w:sz w:val="20"/>
        </w:rPr>
        <w:t>) with Jefferies LLC (</w:t>
      </w:r>
      <w:r>
        <w:rPr>
          <w:rFonts w:ascii="Times New Roman;serif" w:hAnsi="Times New Roman;serif"/>
          <w:b w:val="false"/>
          <w:i/>
          <w:color w:val="000000"/>
          <w:sz w:val="20"/>
        </w:rPr>
        <w:t>Jefferies</w:t>
      </w:r>
      <w:r>
        <w:rPr>
          <w:rFonts w:ascii="Times New Roman;serif" w:hAnsi="Times New Roman;serif"/>
          <w:b w:val="false"/>
          <w:color w:val="000000"/>
          <w:sz w:val="20"/>
        </w:rPr>
        <w:t>) as sales agent, with respect to an at-the-market offering program, under which we were permitted, at our option, to offer and sell, from time to time, shares of our common stock having an aggregate offering price of up to $175 million. During the three months ended June 30, 2026, we sold an aggregate of 1,580,176 shares under the Sales Agreement, for net proceeds of $0.9 million. During the three months ended June 30, 2025, we sold an aggregate of 190,067 shares under the Sales Agreement, for net proceeds of $0.4 million.</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had cash, cash equivalents, and marketable securities of approximately $31.7 million. As of August 14, 2026, the issuance date of the condensed consolidated financial statements in this Quarterly Report as of and for the three months ended June 30, 2026, there is uncertainty about whether our combined cash, cash equivalents, and marketable securities will be sufficient to fund operations beyond twelve months from the issuance date of the condensed consolidated financial statements in this Report and therefore we concluded that substantial doubt exists about our ability to continue as a going concern.</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When necessary and/or advantageous, we will seek additional capital to fund our planned operations through (i) sales of our equity and/or debt securities in one or more public offerings and/or private placements, including, but not limited to sales of our securities under the Sales Agreement, (ii) non-dilutive government grants and research awards and/or (iii) non-dilutive strategic partnering collaborations to advance development and commercialization of one or more of our product candidates. However, no assurance can be provided that any such sales of our securities, awards, agreements or collaborations will occur in the future. While we may make additional sales of our equity and/or debt securities, we do not have an obligation to do so.</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Our future working capital requirements will depend on many factors, including, without limitation, potential impacts related to adjustments in the size of our staff or other actual and/or planned adjustments to our operations,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nonclinical and clinical development of our product candidates, as well as support our operating activities, we plan to seek additional financing, including both equity-based and/or debt-based capital and potentially from non-dilutive sources other than debt-based capital, and continue to carefully manage our operating costs, including, but not limited to, our clinical and nonclinical programs.</w:t>
      </w:r>
    </w:p>
    <w:p>
      <w:pPr>
        <w:pStyle w:val="TextBody"/>
        <w:bidi w:val="0"/>
        <w:spacing w:lineRule="auto" w:line="268" w:before="240" w:after="283"/>
        <w:jc w:val="both"/>
        <w:rPr/>
      </w:pPr>
      <w:r>
        <w:rPr>
          <w:rFonts w:ascii="Times New Roman;serif" w:hAnsi="Times New Roman;serif"/>
          <w:b w:val="false"/>
          <w:color w:val="000000"/>
          <w:sz w:val="20"/>
        </w:rPr>
        <w:t xml:space="preserve">There can be no assurance that future financings will be available to us in sufficient amounts, in a timely manner, or on terms acceptable to us, if at all, or that any current or future development and commercialization collaborations will generate revenue from future potential milestone payments or otherwise. Further, on August 4, 2026, the Company received a notification (the </w:t>
      </w:r>
      <w:r>
        <w:rPr>
          <w:rFonts w:ascii="Times New Roman;serif" w:hAnsi="Times New Roman;serif"/>
          <w:b w:val="false"/>
          <w:i/>
          <w:color w:val="000000"/>
          <w:sz w:val="20"/>
        </w:rPr>
        <w:t>Extension Notice</w:t>
      </w:r>
      <w:r>
        <w:rPr>
          <w:rFonts w:ascii="Times New Roman;serif" w:hAnsi="Times New Roman;serif"/>
          <w:b w:val="false"/>
          <w:color w:val="000000"/>
          <w:sz w:val="20"/>
        </w:rPr>
        <w:t>) from the Listing Qualifications Staff of The Nasdaq Stock Market LLC (</w:t>
      </w:r>
      <w:r>
        <w:rPr>
          <w:rFonts w:ascii="Times New Roman;serif" w:hAnsi="Times New Roman;serif"/>
          <w:b w:val="false"/>
          <w:i/>
          <w:color w:val="000000"/>
          <w:sz w:val="20"/>
        </w:rPr>
        <w:t>Nasdaq</w:t>
      </w:r>
      <w:r>
        <w:rPr>
          <w:rFonts w:ascii="Times New Roman;serif" w:hAnsi="Times New Roman;serif"/>
          <w:b w:val="false"/>
          <w:color w:val="000000"/>
          <w:sz w:val="20"/>
        </w:rPr>
        <w:t>) granting the Company an additional 180 calendar day compliance period, until February 1, 2027 (the</w:t>
      </w:r>
      <w:r>
        <w:rPr>
          <w:color w:val="000000"/>
        </w:rPr>
        <w:t xml:space="preserve"> </w:t>
      </w:r>
      <w:r>
        <w:rPr>
          <w:rFonts w:ascii="Times New Roman;serif" w:hAnsi="Times New Roman;serif"/>
          <w:b w:val="false"/>
          <w:i/>
          <w:color w:val="000000"/>
          <w:sz w:val="20"/>
        </w:rPr>
        <w:t>Extension Period</w:t>
      </w:r>
      <w:r>
        <w:rPr>
          <w:rFonts w:ascii="Times New Roman;serif" w:hAnsi="Times New Roman;serif"/>
          <w:b w:val="false"/>
          <w:color w:val="000000"/>
          <w:sz w:val="20"/>
        </w:rPr>
        <w:t xml:space="preserve">), to regain compliance with the requirement that the Company's common stock maintain a minimum closing bid price of $1.00 per share for continued listing on the Nasdaq Capital Market pursuant to Nasdaq Listing Rule 5550(a)(2) (the </w:t>
      </w:r>
      <w:r>
        <w:rPr>
          <w:rFonts w:ascii="Times New Roman;serif" w:hAnsi="Times New Roman;serif"/>
          <w:b w:val="false"/>
          <w:i/>
          <w:color w:val="000000"/>
          <w:sz w:val="20"/>
        </w:rPr>
        <w:t>Minimum Bid Price Requirement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Extension Notice has no immediate effect on the listing of the Company's common stock, which continues to be listed and traded on the Nasdaq Capital Market, subject to the Company's compliance with the other listing requirements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Nasdaq. To regain compliance, the closing bid price of the Company's common stock must be at least $1.00 per share for a minimum of 10 consecutive business days during the Extension Period.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cash and cash equivalents for the periods stated (in thousands):</w:t>
      </w:r>
    </w:p>
    <w:tbl>
      <w:tblPr>
        <w:tblW w:w="6984" w:type="dxa"/>
        <w:jc w:val="center"/>
        <w:tblInd w:w="0" w:type="dxa"/>
        <w:tblLayout w:type="fixed"/>
        <w:tblCellMar>
          <w:top w:w="28" w:type="dxa"/>
          <w:left w:w="28" w:type="dxa"/>
          <w:bottom w:w="28" w:type="dxa"/>
          <w:right w:w="28" w:type="dxa"/>
        </w:tblCellMar>
      </w:tblPr>
      <w:tblGrid>
        <w:gridCol w:w="1562"/>
        <w:gridCol w:w="1377"/>
        <w:gridCol w:w="1380"/>
        <w:gridCol w:w="216"/>
        <w:gridCol w:w="816"/>
        <w:gridCol w:w="111"/>
        <w:gridCol w:w="111"/>
        <w:gridCol w:w="111"/>
        <w:gridCol w:w="111"/>
        <w:gridCol w:w="216"/>
        <w:gridCol w:w="816"/>
        <w:gridCol w:w="157"/>
      </w:tblGrid>
      <w:tr>
        <w:trPr/>
        <w:tc>
          <w:tcPr>
            <w:tcW w:w="156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(14,707)</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(18,846)</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(13,798)</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(18,146)</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16,991 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48,985 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three months ended June 30, 2026 was $14.7 million, consisting primarily of our net loss of $13.0 million, adjusted for $1.1 million of non-cash charges primarily related to stock-based compensation expense and amortization of our operating lease right-of-use asset, and $2.7 million in net changes in operating assets and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three months ended June 30, 2025 was $18.8 million, consisting primarily of our net loss of $15.1 million, adjusted for $1.0 million of non-cash charges primarily related to stock-based compensation expense and amortization of our operating lease right-of-use asset, and $4.7 million in net changes in operating assets and liabilities.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three months ended June 30, 2026 were cash flow neutral for the three months ended June 30, 2026, as $5.6 million of marketable securities purchases were offset by an equal amount of sales and maturities.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three months ended June 30, 2025 was $0.8 million, consisting of purchases of marketable securities and property and equipment, partially offset by the sale and maturity of marketable securities.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three months ended June 30, 2026 was $0.9 million, consisting primarily of net proceeds from the sale of common stock in at-the-market transactions under the Sales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three months ended June 30, 2025 was $1.5 million, consisting primarily of net proceeds from the sale of common stock in at-the-market transactions under the Sales Agreement of $0.4 million, and proceeds from the issued note payable related to the insurance premium financing arrangement of $1.0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200" w:after="283"/>
        <w:jc w:val="both"/>
        <w:rPr/>
      </w:pPr>
      <w:r>
        <w:rPr>
          <w:rFonts w:ascii="Times New Roman;serif" w:hAnsi="Times New Roman;serif"/>
          <w:b w:val="false"/>
          <w:color w:val="000000"/>
          <w:sz w:val="20"/>
        </w:rPr>
        <w:t xml:space="preserve">There have been no other material changes in our contractual obligations and commitments during the three months ended June 30, 2026, from those described under the heading “Management’s Discussion and Analysis of Financial Condition and Results of Operations—Contractual Obligations and Commitments” in our Annual Report on Form 10-K for the year ended March 31, 2026, filed with the SEC on June 15, 2026 (the </w:t>
      </w:r>
      <w:r>
        <w:rPr>
          <w:rFonts w:ascii="Times New Roman;serif" w:hAnsi="Times New Roman;serif"/>
          <w:b w:val="false"/>
          <w:i/>
          <w:color w:val="000000"/>
          <w:sz w:val="20"/>
        </w:rPr>
        <w:t>Annual Report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during the three months ended June 30, 2026, as compared to the critical accounting policies and estimates disclosed in “Management’s Discussion and Analysis of Financial Condition and Results of Operations” included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both"/>
        <w:rPr/>
      </w:pPr>
      <w:r>
        <w:rPr>
          <w:rFonts w:ascii="Times New Roman;serif" w:hAnsi="Times New Roman;serif"/>
          <w:b w:val="false"/>
          <w:color w:val="000000"/>
          <w:sz w:val="20"/>
        </w:rPr>
        <w:t xml:space="preserve">We are a smaller reporting company, as defined by Rule 12b-2 under the Securities Exchange Act of 1934, as amended (the </w:t>
      </w:r>
      <w:r>
        <w:rPr>
          <w:rFonts w:ascii="Times New Roman;serif" w:hAnsi="Times New Roman;serif"/>
          <w:b w:val="false"/>
          <w:i/>
          <w:color w:val="000000"/>
          <w:sz w:val="20"/>
        </w:rPr>
        <w:t>Exchange Act</w:t>
      </w:r>
      <w:r>
        <w:rPr>
          <w:rFonts w:ascii="Times New Roman;serif" w:hAnsi="Times New Roman;serif"/>
          <w:b w:val="false"/>
          <w:color w:val="000000"/>
          <w:sz w:val="20"/>
        </w:rPr>
        <w:t>), and in Item 10(f)(1) of Regulation S-K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(principal executive officer) and our Chief Financial Officer (principal financial and accounting officer), evaluated the effectiveness of our disclosure controls and procedures as of June 30, 2026. The term “disclosure controls and procedures” as defined in Rule 13a-15(e) of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 13a-15(f) of the Exchange Act) from that described in our Annual Report that occurred during the quarter ended June 30, 2026, to which this Report relates,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68" w:before="0" w:after="0"/>
        <w:jc w:val="both"/>
        <w:rPr/>
      </w:pPr>
      <w:r>
        <w:rPr>
          <w:rFonts w:ascii="Times New Roman;serif" w:hAnsi="Times New Roman;serif"/>
          <w:b w:val="false"/>
          <w:i/>
          <w:color w:val="000000"/>
          <w:sz w:val="20"/>
        </w:rPr>
        <w:t xml:space="preserve">Cesario et al. v. Vistagen Therapeutics, Inc. et al. </w:t>
      </w:r>
      <w:r>
        <w:rPr>
          <w:rFonts w:ascii="Times New Roman;serif" w:hAnsi="Times New Roman;serif"/>
          <w:b w:val="false"/>
          <w:color w:val="000000"/>
          <w:sz w:val="20"/>
        </w:rPr>
        <w:t>(</w:t>
      </w:r>
      <w:r>
        <w:rPr>
          <w:rFonts w:ascii="Times New Roman;serif" w:hAnsi="Times New Roman;serif"/>
          <w:b w:val="false"/>
          <w:i/>
          <w:color w:val="000000"/>
          <w:sz w:val="20"/>
        </w:rPr>
        <w:t>Northern District of California</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On February 13, 2025, John Cesario and David Preka (the </w:t>
      </w:r>
      <w:r>
        <w:rPr>
          <w:rFonts w:ascii="Times New Roman;serif" w:hAnsi="Times New Roman;serif"/>
          <w:b w:val="false"/>
          <w:i/>
          <w:color w:val="000000"/>
          <w:sz w:val="20"/>
        </w:rPr>
        <w:t>Cesario Plaintiffs</w:t>
      </w:r>
      <w:r>
        <w:rPr>
          <w:rFonts w:ascii="Times New Roman;serif" w:hAnsi="Times New Roman;serif"/>
          <w:b w:val="false"/>
          <w:color w:val="000000"/>
          <w:sz w:val="20"/>
        </w:rPr>
        <w:t xml:space="preserve">) filed a civil action, </w:t>
      </w:r>
      <w:r>
        <w:rPr>
          <w:rFonts w:ascii="Times New Roman;serif" w:hAnsi="Times New Roman;serif"/>
          <w:b w:val="false"/>
          <w:i/>
          <w:color w:val="000000"/>
          <w:sz w:val="20"/>
        </w:rPr>
        <w:t>pro se</w:t>
      </w:r>
      <w:r>
        <w:rPr>
          <w:color w:val="000000"/>
        </w:rPr>
        <w:t xml:space="preserve"> </w:t>
      </w:r>
      <w:r>
        <w:rPr>
          <w:rFonts w:ascii="Times New Roman;serif" w:hAnsi="Times New Roman;serif"/>
          <w:b w:val="false"/>
          <w:color w:val="000000"/>
          <w:sz w:val="20"/>
        </w:rPr>
        <w:t xml:space="preserve">(i.e., acting on their own behalf rather than through an attorney), in the United States District Court for the Northern District of California (Case No. 4:25-cv-01510) (the </w:t>
      </w:r>
      <w:r>
        <w:rPr>
          <w:rFonts w:ascii="Times New Roman;serif" w:hAnsi="Times New Roman;serif"/>
          <w:b w:val="false"/>
          <w:i/>
          <w:color w:val="000000"/>
          <w:sz w:val="20"/>
        </w:rPr>
        <w:t>Complaint</w:t>
      </w:r>
      <w:r>
        <w:rPr>
          <w:rFonts w:ascii="Times New Roman;serif" w:hAnsi="Times New Roman;serif"/>
          <w:b w:val="false"/>
          <w:color w:val="000000"/>
          <w:sz w:val="20"/>
        </w:rPr>
        <w:t xml:space="preserve">) against the Company and its Board, certain of its executive officers, professional services and financial advisors, and industry analysts. The Cesario Plaintiffs filed an amended complaint on March 10, 2025 (the </w:t>
      </w:r>
      <w:r>
        <w:rPr>
          <w:rFonts w:ascii="Times New Roman;serif" w:hAnsi="Times New Roman;serif"/>
          <w:b w:val="false"/>
          <w:i/>
          <w:color w:val="000000"/>
          <w:sz w:val="20"/>
        </w:rPr>
        <w:t>First Amended Complaint</w:t>
      </w:r>
      <w:r>
        <w:rPr>
          <w:rFonts w:ascii="Times New Roman;serif" w:hAnsi="Times New Roman;serif"/>
          <w:b w:val="false"/>
          <w:color w:val="000000"/>
          <w:sz w:val="20"/>
        </w:rPr>
        <w:t xml:space="preserve">). On September 3, 2025, the Company filed a motion to dismiss the First Amended Complaint. On October 9, 2025, the Court granted the Cesario Plaintiffs leave to amend the First Amended Complaint, and on November 3, 2025, the Cesario Plaintiffs filed a proposed second amended complaint (the </w:t>
      </w:r>
      <w:r>
        <w:rPr>
          <w:rFonts w:ascii="Times New Roman;serif" w:hAnsi="Times New Roman;serif"/>
          <w:b w:val="false"/>
          <w:i/>
          <w:color w:val="000000"/>
          <w:sz w:val="20"/>
        </w:rPr>
        <w:t>Second Amended Complaint</w:t>
      </w:r>
      <w:r>
        <w:rPr>
          <w:rFonts w:ascii="Times New Roman;serif" w:hAnsi="Times New Roman;serif"/>
          <w:b w:val="false"/>
          <w:color w:val="000000"/>
          <w:sz w:val="20"/>
        </w:rPr>
        <w:t xml:space="preserve">). On December 4, 2025, the Court granted the Cesario Plaintiffs leave to file the Second Amended Complaint, and the Second Amended Complaint was filed with the Court on the same day. The Court also denied the Company’s motion to dismiss the First Amended Complaint as moot at the same time. On December 24, 2025, the Company filed a motion to dismiss the Second Amended Complaint. The Cesario Plaintiffs also purported to serve one of the Individual Defendants, Jon Saxe, who filed a motion to dismiss the Second Amended Complaint at the Court’s instruction on February 22, 2026. On June 15, 2026, the Cesario Plaintiffs filed a motion to dismiss all unserved defendants, leaving only the Company and Mr. Saxe as defendants in the case. A hearing on the Company and Mr. Saxe’s motions to dismiss the Second Amended Complaint was held on July 14, 2026, at which time the Cesario Plaintiffs made an oral motion to dismiss Mr. Saxe without prejudice. On August 12, 2026, the Court issued an order on the motion to dismiss which dismissed the action with prejudice.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Cesario Plaintiffs seek compensatory and punitive damages, as well as fees and costs. The operative complaint alleges violations of Section 10(b) of the Exchange Act, and Rule 10b-5 promulgated thereunder, along with other causes of action. The Cesario Plaintiffs allege, among other things, that the Company, and certain of its executive officers, made misleading statements and material omissions in various public disclosures concerning clinical trials for certain of the Company’s product candidates, which they allege caused plaintiffs to incur compensable losses. The Complaint also alleges that the Board, certain of the Company’s professional and financial advisors, and industry analysts aided and abetted the alleged wrongful conduct. The Company believes the claims asserted in the Complaint are wholly without merit, and intends to defend them vigorously.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rPr>
        <w:t xml:space="preserve">Cesario et al. v. Vistagen Therapeutics, Inc. et al. </w:t>
      </w:r>
      <w:r>
        <w:rPr>
          <w:rFonts w:ascii="Times New Roman;serif" w:hAnsi="Times New Roman;serif"/>
          <w:b w:val="false"/>
          <w:color w:val="000000"/>
          <w:sz w:val="20"/>
        </w:rPr>
        <w:t>(</w:t>
      </w:r>
      <w:r>
        <w:rPr>
          <w:rFonts w:ascii="Times New Roman;serif" w:hAnsi="Times New Roman;serif"/>
          <w:b w:val="false"/>
          <w:i/>
          <w:color w:val="000000"/>
          <w:sz w:val="20"/>
        </w:rPr>
        <w:t>District of Nevada</w:t>
      </w:r>
      <w:r>
        <w:rPr>
          <w:rFonts w:ascii="Times New Roman;serif" w:hAnsi="Times New Roman;serif"/>
          <w:b w:val="false"/>
          <w:color w:val="000000"/>
          <w:sz w:val="20"/>
        </w:rPr>
        <w:t xml:space="preserve">). On April 10, 2026, the Cesario Plaintiffs filed a stockholder derivative action, </w:t>
      </w:r>
      <w:r>
        <w:rPr>
          <w:rFonts w:ascii="Times New Roman;serif" w:hAnsi="Times New Roman;serif"/>
          <w:b w:val="false"/>
          <w:i/>
          <w:color w:val="000000"/>
          <w:sz w:val="20"/>
        </w:rPr>
        <w:t>pro se</w:t>
      </w:r>
      <w:r>
        <w:rPr>
          <w:rFonts w:ascii="Times New Roman;serif" w:hAnsi="Times New Roman;serif"/>
          <w:b w:val="false"/>
          <w:color w:val="000000"/>
          <w:sz w:val="20"/>
        </w:rPr>
        <w:t xml:space="preserve">, in the District of Nevada (Case No. 2:26-cv-01128) against the Company, and certain current and former Board members, executive officers, Company employees and an advisor (the </w:t>
      </w:r>
      <w:r>
        <w:rPr>
          <w:rFonts w:ascii="Times New Roman;serif" w:hAnsi="Times New Roman;serif"/>
          <w:b w:val="false"/>
          <w:i/>
          <w:color w:val="000000"/>
          <w:sz w:val="20"/>
        </w:rPr>
        <w:t>Cesario Derivative Complaint</w:t>
      </w:r>
      <w:r>
        <w:rPr>
          <w:rFonts w:ascii="Times New Roman;serif" w:hAnsi="Times New Roman;serif"/>
          <w:b w:val="false"/>
          <w:color w:val="000000"/>
          <w:sz w:val="20"/>
        </w:rPr>
        <w:t xml:space="preserve">). On May 5, 2026, the Cesario Plaintiffs filed an amended derivative complaint (the </w:t>
      </w:r>
      <w:r>
        <w:rPr>
          <w:rFonts w:ascii="Times New Roman;serif" w:hAnsi="Times New Roman;serif"/>
          <w:b w:val="false"/>
          <w:i/>
          <w:color w:val="000000"/>
          <w:sz w:val="20"/>
        </w:rPr>
        <w:t>Amended Cesario Derivative Complaint</w:t>
      </w:r>
      <w:r>
        <w:rPr>
          <w:rFonts w:ascii="Times New Roman;serif" w:hAnsi="Times New Roman;serif"/>
          <w:b w:val="false"/>
          <w:color w:val="000000"/>
          <w:sz w:val="20"/>
        </w:rPr>
        <w:t>). The Cesario Plaintiffs purport to be Company stockholders, and the allegations are primarily the same as those made in the Second Amended Complaint. On July 29, 2026, the Company filed a motion for a bond in accordance with Nevada Revised Statutes section 41.520, requesting that the Court require the Cesario Plaintiffs to post a $100,000 bond as security to cover the Company’s reasonably probable defense costs, including attorney’s fees, before being allowed to proceed with the action.</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rPr>
        <w:t xml:space="preserve">Securities Class Action Lawsuit and Derivative Actions in the Northern District of California. </w:t>
      </w:r>
      <w:r>
        <w:rPr>
          <w:rFonts w:ascii="Times New Roman;serif" w:hAnsi="Times New Roman;serif"/>
          <w:b w:val="false"/>
          <w:color w:val="000000"/>
          <w:sz w:val="20"/>
        </w:rPr>
        <w:t xml:space="preserve">On January 15, 2026, a putative class action complaint (the </w:t>
      </w:r>
      <w:r>
        <w:rPr>
          <w:rFonts w:ascii="Times New Roman;serif" w:hAnsi="Times New Roman;serif"/>
          <w:b w:val="false"/>
          <w:i/>
          <w:color w:val="000000"/>
          <w:sz w:val="20"/>
        </w:rPr>
        <w:t>Class Action Complaint</w:t>
      </w:r>
      <w:r>
        <w:rPr>
          <w:rFonts w:ascii="Times New Roman;serif" w:hAnsi="Times New Roman;serif"/>
          <w:b w:val="false"/>
          <w:color w:val="000000"/>
          <w:sz w:val="20"/>
        </w:rPr>
        <w:t xml:space="preserve">) was filed by alleged stockholder Dan Eller against the Company, Shawn Singh, and Joshua Prince(the </w:t>
      </w:r>
      <w:r>
        <w:rPr>
          <w:rFonts w:ascii="Times New Roman;serif" w:hAnsi="Times New Roman;serif"/>
          <w:b w:val="false"/>
          <w:i/>
          <w:color w:val="000000"/>
          <w:sz w:val="20"/>
        </w:rPr>
        <w:t>Class Action Defendants</w:t>
      </w:r>
      <w:r>
        <w:rPr>
          <w:rFonts w:ascii="Times New Roman;serif" w:hAnsi="Times New Roman;serif"/>
          <w:b w:val="false"/>
          <w:color w:val="000000"/>
          <w:sz w:val="20"/>
        </w:rPr>
        <w:t xml:space="preserve">) in the United States District Court for the Northern District of California, captioned </w:t>
      </w:r>
      <w:r>
        <w:rPr>
          <w:rFonts w:ascii="Times New Roman;serif" w:hAnsi="Times New Roman;serif"/>
          <w:b w:val="false"/>
          <w:i/>
          <w:color w:val="000000"/>
          <w:sz w:val="20"/>
        </w:rPr>
        <w:t>Eller v. Vistagen Therapeutics, Inc. et al</w:t>
      </w:r>
      <w:r>
        <w:rPr>
          <w:rFonts w:ascii="Times New Roman;serif" w:hAnsi="Times New Roman;serif"/>
          <w:b w:val="false"/>
          <w:color w:val="000000"/>
          <w:sz w:val="20"/>
        </w:rPr>
        <w:t xml:space="preserve">. (Case No. 3:26-cv-00427) (the </w:t>
      </w:r>
      <w:r>
        <w:rPr>
          <w:rFonts w:ascii="Times New Roman;serif" w:hAnsi="Times New Roman;serif"/>
          <w:b w:val="false"/>
          <w:i/>
          <w:color w:val="000000"/>
          <w:sz w:val="20"/>
        </w:rPr>
        <w:t>Class Action</w:t>
      </w:r>
      <w:r>
        <w:rPr>
          <w:rFonts w:ascii="Times New Roman;serif" w:hAnsi="Times New Roman;serif"/>
          <w:b w:val="false"/>
          <w:color w:val="000000"/>
          <w:sz w:val="20"/>
        </w:rPr>
        <w:t xml:space="preserve">). The Class Action Complaint alleges that the Class Action Defendants disseminated false and misleading statements and/or concealed material adverse facts concerning the Company’s PALISADE-3 Phase 3 clinical trial. The Class Action Complaint asserts claims under Sections 10(b) and 20(a) of the Exchange Act and Rule 10b-5 promulgated thereunder. On April 16, 2026, the Court appointed Eric Weinberger as the lead plaintiff (“Lead Plaintiff”). Lead Plaintiff filed an amended complaint on June 16, 2026, purporting to represent a putative class of stockholders who purchased or otherwise acquired Company securities between April 1, 2024 and December 16, 2025, both dates inclusive, and seeking unspecified damages. The Company is obligated to respond by August 18, 2026.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the claims asserted in the Class Action Complaint are wholly without merit, and intends to defend them vigorously.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Two stockholder derivative actions were filed against the Company, as nominal defendant, and certain of the Company's current and former officers and directors, in the United States District Court for the Northern District of California, captioned </w:t>
      </w:r>
      <w:r>
        <w:rPr>
          <w:rFonts w:ascii="Times New Roman;serif" w:hAnsi="Times New Roman;serif"/>
          <w:b w:val="false"/>
          <w:i/>
          <w:color w:val="000000"/>
          <w:sz w:val="20"/>
          <w:shd w:fill="FFFFFF" w:val="clear"/>
        </w:rPr>
        <w:t>Do v. Singh et al</w:t>
      </w:r>
      <w:r>
        <w:rPr>
          <w:rFonts w:ascii="Times New Roman;serif" w:hAnsi="Times New Roman;serif"/>
          <w:b w:val="false"/>
          <w:color w:val="000000"/>
          <w:sz w:val="20"/>
          <w:shd w:fill="FFFFFF" w:val="clear"/>
        </w:rPr>
        <w:t xml:space="preserve">. (Case No. 4:26-cv-02656) (the </w:t>
      </w:r>
      <w:r>
        <w:rPr>
          <w:rFonts w:ascii="Times New Roman;serif" w:hAnsi="Times New Roman;serif"/>
          <w:b w:val="false"/>
          <w:i/>
          <w:color w:val="000000"/>
          <w:sz w:val="20"/>
        </w:rPr>
        <w:t>Do Derivative Complaint</w:t>
      </w:r>
      <w:r>
        <w:rPr>
          <w:rFonts w:ascii="Times New Roman;serif" w:hAnsi="Times New Roman;serif"/>
          <w:b w:val="false"/>
          <w:color w:val="000000"/>
          <w:sz w:val="20"/>
          <w:shd w:fill="FFFFFF" w:val="clear"/>
        </w:rPr>
        <w:t xml:space="preserve">), on March 26, 2026, and </w:t>
      </w:r>
      <w:r>
        <w:rPr>
          <w:rFonts w:ascii="Times New Roman;serif" w:hAnsi="Times New Roman;serif"/>
          <w:b w:val="false"/>
          <w:i/>
          <w:color w:val="000000"/>
          <w:sz w:val="20"/>
        </w:rPr>
        <w:t>Strekal v. Singh et al</w:t>
      </w:r>
      <w:r>
        <w:rPr>
          <w:rFonts w:ascii="Times New Roman;serif" w:hAnsi="Times New Roman;serif"/>
          <w:b w:val="false"/>
          <w:color w:val="000000"/>
          <w:sz w:val="20"/>
          <w:shd w:fill="FFFFFF" w:val="clear"/>
        </w:rPr>
        <w:t xml:space="preserve">. (Case No. 3:26-cv-04480), on May 13, 2026 (the </w:t>
      </w:r>
      <w:r>
        <w:rPr>
          <w:rFonts w:ascii="Times New Roman;serif" w:hAnsi="Times New Roman;serif"/>
          <w:b w:val="false"/>
          <w:i/>
          <w:color w:val="000000"/>
          <w:sz w:val="20"/>
        </w:rPr>
        <w:t>Strekal Derivative Complaint</w:t>
      </w:r>
      <w:r>
        <w:rPr>
          <w:color w:val="000000"/>
          <w:shd w:fill="FFFFFF" w:val="clear"/>
        </w:rPr>
        <w:t xml:space="preserve"> </w:t>
      </w:r>
      <w:r>
        <w:rPr>
          <w:rFonts w:ascii="Times New Roman;serif" w:hAnsi="Times New Roman;serif"/>
          <w:b w:val="false"/>
          <w:color w:val="000000"/>
          <w:sz w:val="20"/>
          <w:shd w:fill="FFFFFF" w:val="clear"/>
        </w:rPr>
        <w:t xml:space="preserve">and, together with the Do Derivative Complaint, the </w:t>
      </w:r>
      <w:r>
        <w:rPr>
          <w:rFonts w:ascii="Times New Roman;serif" w:hAnsi="Times New Roman;serif"/>
          <w:b w:val="false"/>
          <w:i/>
          <w:color w:val="000000"/>
          <w:sz w:val="20"/>
        </w:rPr>
        <w:t>Derivative Complaints</w:t>
      </w:r>
      <w:r>
        <w:rPr>
          <w:rFonts w:ascii="Times New Roman;serif" w:hAnsi="Times New Roman;serif"/>
          <w:b w:val="false"/>
          <w:color w:val="000000"/>
          <w:sz w:val="20"/>
          <w:shd w:fill="FFFFFF" w:val="clear"/>
        </w:rPr>
        <w:t xml:space="preserve">). The plaintiffs in both Derivative Complaints purport to be current Company stockholders, and the allegations are </w:t>
      </w:r>
      <w:r>
        <w:rPr>
          <w:rFonts w:ascii="Times New Roman;serif" w:hAnsi="Times New Roman;serif"/>
          <w:b w:val="false"/>
          <w:color w:val="000000"/>
          <w:sz w:val="20"/>
        </w:rPr>
        <w:t xml:space="preserve">primarily the same as those made in the Class Action Complaint. Motions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relate the Derivative Actions to the Class Action were granted on July 13, 2026, and July 2, 2026, respectively, and a stipulation consolidating the Derivative Actions and staying the consolidated Derivative Actions pending resolution of the Class Action was filed with the Court on July 13, 2026. The Court issued an order granting the stipulation, consolidating the Derivative Actions, and staying the consolidated Derivative Action pending resolution of the Class Action on July 30, 2026.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 lawsuits against the Company and certain of its officers or directors may be filed in the future. If additional similar complaints are filed, absent new or different allegations that are material, the Company will not necessarily announce such additional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Summary</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Investing in our securities involves a high degree of risk. You should carefully consider the risks and uncertainties described below, together with the other information in this Report, including our Condensed Consolidated Financial Statements and the related notes included in this Report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Report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elsewhere in this Report and described below are not intended to be exhaustive and are not the only ones we face. Additional risks and uncertainties not presently known to us, or that we currently deem immaterial, may also impair our business operations. This Report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require substantial additional financing to execute our long-term business plan, including further development and commercialization of our pherine product candidates, and to continue to operate as a going concern;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are a clinical-stage biopharmaceutical company with no approved products or revenues from product sales, and limited experience developing and commercializing new product candidates, which makes it difficult to assess our future viability;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have incurred significant net losses since inception, and we will continue to incur substantial operating losses for the foreseeable future;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if we fail to regain compliance with the continued listing requirements of the Nasdaq Capital Market, our common stock may be delisted and the price of our common stock and our ability to access the capital markets could be negatively impacted;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depend heavily on the success of fasedienol and, to a lesser extent, our other pherine product candidates, and we cannot be certain that ongoing or future clinical trials will produce successful results or that we will be able to obtain regulatory approval for fasedienol or any of our current or future product candidates;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failures of ongoing or future nonclinical or clinical trials of our product candidates, such as our PALISADE-1, PALISADE-3 and PALISADE-4 clinical trials, or material delays in the completion and/or commencement of our ongoing or planned nonclinical or clinical trials, could result in increased costs to us and could delay, prevent or limit our ability to generate revenue and continue our business;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shd w:fill="FFFFFF" w:val="clear"/>
        </w:rPr>
        <w:t>we are focused on novel neuroscience drug development, a field that has seen very limited success. The ability to successfully develop product candidates in this field is extremely difficult and is subject to a number of unique challenges;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successful completion of nonclinical studies and/or clinical trials in any of our product candidate development programs may not be sufficient to cause the FDA to approve any NDA that we may submit, or cause any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agency to provide regulatory approval of any of our product candidates, and, even if approved, does not ensure acceptance of such product candidates by clinicians leading to a revenue stream to support our operations;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if we are unable to retain or attract key management and scientific personnel, or effectively manage the impact of our recent workforce reduction, we may be unable to successfully produce, develop, and commercialize our product candidates;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rely on third party collaborators to assist in conducting our nonclinical studies and clinical trials and if they do not perform satisfactorily, we may not be able to obtain regulatory approval or commercialize our product candidates, or such approval or commercialization may be delayed, and our business could be substantially harmed;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shd w:fill="FFFFFF" w:val="clear"/>
        </w:rPr>
        <w:t>raising</w:t>
      </w:r>
      <w:r>
        <w:rPr>
          <w:color w:val="000000"/>
        </w:rPr>
        <w:t xml:space="preserve"> </w:t>
      </w:r>
      <w:r>
        <w:rPr>
          <w:rFonts w:ascii="Times New Roman;serif" w:hAnsi="Times New Roman;serif"/>
          <w:b w:val="false"/>
          <w:color w:val="000000"/>
          <w:sz w:val="20"/>
        </w:rPr>
        <w:t>additional capital in equity-based financing transactions will cause substantial dilution to our existing stockholders, may restrict our operations or require us to relinquish rights to our product candidates, and may require us to seek stockholder approval to authorize additional shares of our common stock;</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operate in highly competitive and rapidly changing industries, which may result in others discovering, developing or commercializing competing products before or more successfully than we do;</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nonclinical and clinical drug development is a lengthy and expensive process, with an uncertain outcome. Our nonclinical and clinical programs have experienced delays and may experience additional delays or may never advance, which would adversely affect our ability to obtain regulatory approvals or commercialize our product candidates on a timely basis or at all, which could have an adverse effect on our business;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we face significant competition, and if we are unable to compete effectively, we may not be able to achieve or maintain significant market penetration or improve our results of operations;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shd w:fill="FFFFFF" w:val="clear"/>
        </w:rPr>
        <w:t xml:space="preserve">if </w:t>
      </w:r>
      <w:r>
        <w:rPr>
          <w:rFonts w:ascii="Times New Roman;serif" w:hAnsi="Times New Roman;serif"/>
          <w:b w:val="false"/>
          <w:color w:val="000000"/>
          <w:sz w:val="20"/>
        </w:rPr>
        <w:t>we are unable to adequately protect our proprietary technology and product candidates, or obtain and maintain issued patents that are sufficient to protect our product candidates, others could compete against us more directly, which would have a material adverse impact on our business, results of operations, financial condition and prospects;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reduction in staffing, large staff turnover, changes to key personnel on applicable regulatory review teams and/or inadequate funding for the FDA or other government agencies, including those resulting from reduced staffing levels, could hinder those agencies from performing normal business functions on which the operation of our business may rely, which could negatively impact our business; and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shd w:fill="FFFFFF" w:val="clear"/>
        </w:rPr>
        <w:t>other risks and uncertainties, including those described below.</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are unable to effectively manage the impact of these and other risks, our ability to operate and execute our strategic business plan would be substantially impaired. In turn, the value of our securities would be materially reduced.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The successful development of pharmaceutical products is highly uncertain.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Successful development of pharmaceutical products is highly uncertain and is dependent on numerous factors, many of which are beyond our control. Product candidates that appear promising in the early phases of development may fail to reach the market for several reasons,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delays or difficulties in enrollment and completion of any of our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clinical trial results may show the product candidates to be less effective than expected (for example, a clinical trial could fail to meet its primary or key secondary endpoint(s)) or have an unacceptable safety or tolerability profile;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FDA or other equivalent non-U.S. regulatory authorities may find the chemistry, manufacturing and controls, or (</w:t>
      </w:r>
      <w:r>
        <w:rPr>
          <w:rFonts w:ascii="Times New Roman;serif" w:hAnsi="Times New Roman;serif"/>
          <w:b w:val="false"/>
          <w:i/>
          <w:color w:val="000000"/>
          <w:sz w:val="20"/>
        </w:rPr>
        <w:t>CMC</w:t>
      </w:r>
      <w:r>
        <w:rPr>
          <w:rFonts w:ascii="Times New Roman;serif" w:hAnsi="Times New Roman;serif"/>
          <w:b w:val="false"/>
          <w:color w:val="000000"/>
          <w:sz w:val="20"/>
        </w:rPr>
        <w:t>) data insufficient to support the quality of our product candidates;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preclinical study results may show the product candidate to be less effective than desired or to have harmful side effects;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review of IND, NDA or similar foreign applications, preparation, discussions with the FDA or foreign regulatory authorities, a FDA or foreign regulatory authority request for additional preclinical or clinical data (such as long-term toxicology studies) or unexpected safety or manufacturing issues;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post-marketing approval requirements; or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proprietary rights of others and their competing products and technologies that may prevent our product candidates from being commercialized.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w:t>
      </w:r>
      <w:r>
        <w:rPr>
          <w:rFonts w:ascii="Times New Roman;serif" w:hAnsi="Times New Roman;serif"/>
          <w:b w:val="false"/>
          <w:i/>
          <w:color w:val="000000"/>
          <w:sz w:val="20"/>
        </w:rPr>
        <w:t>cGMPs</w:t>
      </w:r>
      <w:r>
        <w:rPr>
          <w:rFonts w:ascii="Times New Roman;serif" w:hAnsi="Times New Roman;serif"/>
          <w:b w:val="false"/>
          <w:color w:val="000000"/>
          <w:sz w:val="20"/>
        </w:rPr>
        <w:t>) and similar foreign requirements, and good clinical practices (</w:t>
      </w:r>
      <w:r>
        <w:rPr>
          <w:rFonts w:ascii="Times New Roman;serif" w:hAnsi="Times New Roman;serif"/>
          <w:b w:val="false"/>
          <w:i/>
          <w:color w:val="000000"/>
          <w:sz w:val="20"/>
        </w:rPr>
        <w:t>GCPs</w:t>
      </w:r>
      <w:r>
        <w:rPr>
          <w:rFonts w:ascii="Times New Roman;serif" w:hAnsi="Times New Roman;serif"/>
          <w:b w:val="false"/>
          <w:color w:val="000000"/>
          <w:sz w:val="20"/>
        </w:rPr>
        <w:t>)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our product candidates post-approval could adversely affect our business,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business is highly dependent on the success of fasedienol and, to a lesser extent, our other product candidates. If we are unable to successfully complete clinical development, obtain regulatory approval for or commercialize fasedienol or one or more of our other product candidates, or if we experience delays in doing so, our business will be materially harmed.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date, as an organization, we have not completed the development of any of our product candidates, including fasedienol, our most advanced product candidate. Our future success and ability to generate revenue from fasedienol or any other of our product candidates is dependent on our ability to successfully develop, obtain regulatory approval for and commercialize one or more of our product candidates. All of our product candidates will require substantial additional investment for clinical development, regulatory review and approval in one or more jurisdictions. If any of our product candidates encounters safety or efficacy problems, development delays or regulatory issues or other problems, our development plans and business would be materially harmed.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nonclinical and clinical programs have experienced delays and may experience additional delays or may never advance, which would adversely affect our ability to obtain regulatory approvals or commercialize our product candidates on a timely basis or at all, which could have an adverse effect on our business. We do not have the financial resources to continue development of or commercialize our product candidates. Moreover, we may experience issues that further delay or prevent regulatory approval of, or our ability to commercialize, our product candidates,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negative or inconclusive results from our preclinical studies, clinical trials or the clinical trials of others for product candidates similar to ours, leading to a decision or requirement to conduct additional preclinical studies, clinical trials or abandon a program;</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insufficiency of our financial and other resources to complete the necessary preclinical studies, clinical trials and regulatory submissions or necessary to fund pre-commercial and commercial activities to establish sales, marketing and distribution capabilities needed to successfully commercialize an approved product;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poor effectiveness of our product candidates observed during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better than expected performance of control arms, such as placebo groups, which could lead to negative or inconclusive results from our clinical trials;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delays in enrolling and randomizing subjects in our clinical trials;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high drop-out rates of subjects from our clinical trials;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inadequate supply or quality of product candidates or other materials necessary for the conduct of our clinical trials;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higher than anticipated clinical trial or manufacturing costs;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product-related adverse events experienced by subjects in our clinical trials, including unexpected toxicity results, or by individuals using drugs or therapeutic biologics similar to our product candidates;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delays in submitting an IND, comparable foreign applications or delays or failure in obtaining the necessary approvals or allowances from regulators to commence a clinical trial or a suspension or termination, or hold, of a clinical trial once commenced;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inability to demonstrate to the satisfaction of the FDA or comparable foreign regulatory authorities that our product candidates are safe and effective;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conditions imposed by the FDA or comparable foreign regulatory authorities regarding the scope or design of our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unfavorable FDA or comparable regulatory authority inspection and review of our clinical trial sites;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failure of our third-party contractors or investigators to comply with regulatory requirements or the clinical trial protocol or otherwise meet their contractual obligations in a timely manner, or at all;</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delays and changes in regulatory requirements, policies and guidelines, including the imposition of additional regulatory oversight around clinical testing generally or with respect to our therapies in particular; or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varying interpretations of data by the FDA and comparable foreign regulatory authorities.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are a clinical-stage biopharmaceutical company with no recurring revenues from product sales or approved products. We are not profitable and have incurred losses in each period since our inception. We expect to continue to incur significant losses for the foreseeable future, and we expect these losses to increase as we continue our research and development of, and seek regulatory approvals for, and commercialization of our product candidates.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are a clinical-stage biopharmaceutical company. We have no products approved for commercial sale and have generated no revenue from product sales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$69.7 million and $51.4 million for the years ended March 31, 2026 and 2025, respectively, and we incurred a net loss of $13.0 million during the three months ended June 30, 2026. We expect to continue to incur significant losses for the foreseeable future.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anticipate that our expenses will increase substantially in the event we: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advance our product candidates through clinical development, including as we advance these candidates into and through later-stage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seek regulatory approvals for any product candidates that successfully complete clinical trials;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undertake any commercialization-related activities;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advance preclinical-stage product candidates into clinical development;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maintain, protect and seek to expand our intellectual property portfolio.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high costs, uncertainties, delays and difficulties frequently encountered by companies in clinical development, especially small clinical-stage biopharmaceutical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our expenses could increase beyond our expectations if we are required by the FDA or other regulatory authorities to perform preclinical studies or clinical trials in addition to those that we currently anticipate, or if there are any delays in establishing appropriate manufacturing arrangements for or in completing our clinical trials or the development of any of our product candidates.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have never generated revenue from product sales and may never be profitable.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become and remain profitable depends on our ability to generate revenue or execute other business development arrangements. We do not expect to generate significant revenue, if any, unless and until we are able to obtain regulatory approval for, and successfully commercialize, one or more product candidates we are developing or may develop. Successful commercialization will require achievement of many key milestones, including demonstrating sufficient evidence of safety and efficacy in clinical trials, obtaining regulatory approval for these product candidates, manufacturing, marketing and selling those products for which we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revenues, the extent of any further losses or if or when we might achieve profitability. We may never succeed in these activities, and even if we do, we may never generate revenues that are significant enough for us to achieve profitability. Even if we do achieve profitability, we may not be able to sustain or increase profitability on a quarterly or annual basis.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failure to become and remain profitable may depress the market price of our common stock and could impair our ability to raise capital, expand our business, diversify our product offerings or continue our operations. If we continue to incur losses as we have since our inception, investors may not receive any return on their investment and may lose their entire investment.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We will need substantial capital to execute our business plan, and if we are unable to raise capital when needed, we could be forced to delay, reduce or terminate our research and development programs, personnel, pre-commercialization or commercialization efforts.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operations have consumed substantial amounts of cash since inception. As in prior periods we expect to continue to spend substantial amounts of cash to continue the preclinical and clinical development of our product candidates. These expenditures will include costs associated with general and administrative costs, facilities costs, research and development, manufacturing, conducting nonclinical experiments and clinical trials, obtaining regulatory approvals and commercialization, should the FDA approve any of our product candidates for sale. We will need to raise substantial additional capital to complete certain of our currently planned preclinical and clinical development programs, including future late-stage clinical trials. If we are able to gain marketing approval for any product candidates that we develop, we will require significant amounts of additional capital in order to prepare to launch and commercialize such product candidates. As the outcome of our ongoing research and development activities, including the outcome of future anticipated preclinical studies and clinical trials, is highly uncertain, we cannot reasonably estimate the actual amounts of additional capital necessary to successfully complete the development and commercialization, alone or with one or more collaborators of any product candidate we develop. We do not expect to generate sustainable positive operating cash flows until, and unless, we obtain approval from the FDA and other regulatory authorities and successfully commercialize one or more of our product candidates alone or with one or more collaborators.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these and other factors, we will need to seek additional capital to fund our future operations, operating plans and requirements, including capital necessary to develop, obtain regulatory approval for, and commercialize our product candidates, alone or with one or more collaborators, and may seek additional capital in the event there exists favorable market conditions or strategic considerations, even if we believe we have sufficient funds for our current operations or future operating plans and requirements.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need for additional funding depends on many factors, including: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number and characteristics of future product candidates we pursue and their development requirements;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scope, progress, results and costs of researching, developing and commercializing our product candidates, alone or with one or more collaborators, and any other additional product candidates we may develop and pursue in the future;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timing of, and the costs involved in, obtaining marketing approvals for our product candidates and any other additional product candidates we may develop and pursue in the future;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subject to receipt of regulatory approval, the costs of commercialization activities for our product candidates, to the extent such costs are not the responsibility of any future collaborators, including the costs and timing of establishing product sales, marketing, distribution and manufacturing capabilities;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subject to receipt of regulatory approval, revenue, if any, received from commercial sales of our product candidates or any other additional product candidates we may develop and pursue in the future;</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cost of formulating and manufacturing our product candidates, and our reliance on third-party contract development and manufacturing organizations (</w:t>
      </w:r>
      <w:r>
        <w:rPr>
          <w:rFonts w:ascii="Times New Roman;serif" w:hAnsi="Times New Roman;serif"/>
          <w:b w:val="false"/>
          <w:i/>
          <w:color w:val="000000"/>
          <w:sz w:val="20"/>
        </w:rPr>
        <w:t>CDMOs</w:t>
      </w:r>
      <w:r>
        <w:rPr>
          <w:rFonts w:ascii="Times New Roman;serif" w:hAnsi="Times New Roman;serif"/>
          <w:b w:val="false"/>
          <w:color w:val="000000"/>
          <w:sz w:val="20"/>
        </w:rPr>
        <w:t>) to do so;</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extent to which we establish and maintain strategic partnerships, licensing or other collaborative arrangements necessary for the development and commercialization of our product candidates, on favorable financial terms, if at all;</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subject to regulatory approval, market acceptance of our product candidates;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headcount growth and associated costs if we expand our research and development, market development, pre-commercial and commercialization activities;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costs of preparing, filing and prosecuting patent applications, maintaining and protecting our intellectual property rights, including enforcing and defending intellectual property related claims;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costs of operating as a public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cash, cash equivalents, and marketable securities of $31.7 million. As of August 14, 2026, the issuance date of the condensed consolidated financial statements as of and for the three months ended June 30, 2026, there is uncertainty about whether the Company’s combined cash, cash equivalents, and marketable securities will be sufficient to fund operations beyond twelve months from the issuance date of these condensed consolidated financial statements, and therefore the Company concluded that substantial doubt existed about the Company’s ability to continue as a going concern.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terms of any future financing may adversely affect the holdings or the rights of our stockholders and the issuance of additional securities, whether equity or debt, by us, or the possibility of such issuance, may cause the market price of our shares to decline. For example,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also seek funds through arrangements 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When necessary, including if we are unable to obtain additional funding on a timely basis and on acceptable terms, we may be required to significantly curtail, delay or terminate one or more of our research or product development programs or be unable to continue our current level of operations or otherwise capitalize on our business opportunities, as desired, which could materially affect our business, financial condition and results of operations.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Currently, our neuroscience pipeline consists of five clinical-stage intranasal pherine candidates and AV-101. We seek to maintain a process of prioritization and optimal capital allocation to maintain an appropriate balance between the development of our most advanced product candidates and indications and ensuring the development of additional potential product candidates and indications, on our own or with strategic collaborators.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significant resources required for the development of our pharmaceutical product candidates, we must decide which of our product candidates and indications to pursue and advance, as well as the amount of resources to allocate to each, if any.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psychiatric, neurological and women's conditions and disorders,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conditions or disorders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may not realize the expected benefits from our workforce reduction and we may incur additional costs implementing it or other difficulties.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In March 2026, we implemented a workforce reduction. The objective of the reduction was to </w:t>
      </w:r>
      <w:r>
        <w:rPr>
          <w:rFonts w:ascii="Times New Roman;serif" w:hAnsi="Times New Roman;serif"/>
          <w:b w:val="false"/>
          <w:color w:val="000000"/>
          <w:sz w:val="20"/>
          <w:shd w:fill="FFFFFF" w:val="clear"/>
        </w:rPr>
        <w:t>provide for disciplined cash management while prioritizing efficient execution of ongoing placebo-controlled clinical trials and real-world open label clinical studies in our PALISADE Program for fasedienol, including, but not limited to,</w:t>
      </w:r>
      <w:r>
        <w:rPr>
          <w:color w:val="000000"/>
        </w:rPr>
        <w:t xml:space="preserve"> </w:t>
      </w:r>
      <w:r>
        <w:rPr>
          <w:rFonts w:ascii="Times New Roman;serif" w:hAnsi="Times New Roman;serif"/>
          <w:b w:val="false"/>
          <w:color w:val="000000"/>
          <w:sz w:val="20"/>
          <w:shd w:fill="FFFFFF" w:val="clear"/>
        </w:rPr>
        <w:t>PALISADE-4 and the Repeat Dose Study.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However, the reduction in workforce may yield unintended consequences and costs, such as the loss of institutional knowledge and expertise, attrition beyond our intended workforce reduction, a reduction in morale among our remaining employees, and the risk that we may not achieve the anticipated benefits, all of which may have an adverse effect on our development activities, ability to progress our product candidate development, and results of operations or financial condition.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incur other charges, costs, future cash expenditures or impairments not currently contemplated due to events that may occur as a result of, or in connection with, workforce reduction. In addition, we may be unsuccessful in distributing the duties and obligations of departed employees among our remaining employees.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discover that the workforce reduction and cost cutting measures will make it difficult for us to pursue new opportunities and initiatives and require us to hire qualified replacement personnel, which may require us to incur additional and unanticipated costs and expenses. Our failure to successfully accomplish any of the above activities and goals may have a negative impact on our business, financial condition, results of operations and growth prospects.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Raising additional capital may cause substantial dilution to our stockholders, restrict our operations or require us to relinquish significant rights to our technologies or product candidates.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royalty-based financing,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we raise additional capital through the sale of common stock, convertible securities or other equity securities, the ownership interest of our stockholders may be substantially diluted, and the terms of these securities could include liquidation or other preferences and anti-dilution protections that could adversely affect the rights of our common stockholders. In addition, royalty-based financing or debt financing, if available, may result in our relinquishing significant rights to potentially valuable future revenue streams or fixed payment obligations and may involve agreements that include restrictive covenants that limit our ability to take specific actions, such as incurring additional debt, making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expenditures, creating liens, redeeming stock or declaring dividends, that could adversely impact our ability to conduct our business. In addition, securing financing could require a substantial amount of time and attention from our management team and may divert a disproportionate amount of our attention away from day-to-day activities, which may adversely affect our management team’s ability to oversee the development and commercialization of our product candidates, if approved.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we raise additional capital through collaborations, strategic alliances or marketing, distribution or licensing arrangements, or royalty-based financings with third parties, we may have to relinquish potentially valuable rights to our technologies, future revenue streams, research programs or product candidates, or grant licenses on terms that may not be favorable to us. If we are unable to raise additional capital when needed, we may be required to delay, limit, reduce or terminate our research, product development or future commercialization efforts, grant rights to develop and market product candidates that we would otherwise prefer to develop and market ourselves, obtain capital through arrangement with collaborators on terms unfavorable to us or pursue other strategies, all of which could adversely affect the holdings or the rights of our stockholders.</w:t>
      </w:r>
    </w:p>
    <w:p>
      <w:pPr>
        <w:pStyle w:val="TextBody"/>
        <w:bidi w:val="0"/>
        <w:spacing w:lineRule="auto" w:line="268" w:before="200" w:after="283"/>
        <w:jc w:val="both"/>
        <w:rPr>
          <w:rFonts w:ascii="Times New Roman;serif" w:hAnsi="Times New Roman;serif"/>
          <w:b/>
          <w:color w:val="000000"/>
          <w:sz w:val="20"/>
        </w:rPr>
      </w:pPr>
      <w:r>
        <w:rPr>
          <w:rFonts w:ascii="Times New Roman;serif" w:hAnsi="Times New Roman;serif"/>
          <w:b/>
          <w:color w:val="000000"/>
          <w:sz w:val="20"/>
        </w:rPr>
        <w:t>Risks Related to Product Development, Regulatory Approval</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regulatory approval processes of the FDA and comparable foreign regulatory authorities are lengthy, time-consuming and inherently unpredictable, and if we are ultimately unable to obtain regulatory approval for our product candidates, our business will be substantially harmed.</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We are not permitted to commercialize, market, promote or sell any product candidate in the U.S. without obtaining regulatory approval from the FDA. Foreign regulatory authorities impose similar requirements. The time required to obtain approval by the FDA and comparable foreign authorities is inherently unpredictable, but typically takes many years following the commencement of clinical trials and depends upon numerous factors, including substantial discretion of the regulatory authorities and such factors may vary among jurisdictions. For instance, jurisdictions outside of the U.S., such as China, the European Union (</w:t>
      </w:r>
      <w:r>
        <w:rPr>
          <w:rFonts w:ascii="Times New Roman;serif" w:hAnsi="Times New Roman;serif"/>
          <w:b w:val="false"/>
          <w:i/>
          <w:color w:val="000000"/>
          <w:sz w:val="20"/>
        </w:rPr>
        <w:t>EU</w:t>
      </w:r>
      <w:r>
        <w:rPr>
          <w:rFonts w:ascii="Times New Roman;serif" w:hAnsi="Times New Roman;serif"/>
          <w:b w:val="false"/>
          <w:color w:val="000000"/>
          <w:sz w:val="20"/>
        </w:rPr>
        <w:t>) or Japan, may have different requirements for regulatory approval of a product candidate, which may require us to conduct additional clinical, nonclinical or chemistry, manufacturing and control studies. In addition, approval policies, regulations, or the type and amount of clinical data necessary to gain approval may change during the course of a product candidate’s clinical development. For example, c</w:t>
      </w:r>
      <w:r>
        <w:rPr>
          <w:rFonts w:ascii="Times New Roman;serif" w:hAnsi="Times New Roman;serif"/>
          <w:b w:val="false"/>
          <w:color w:val="000000"/>
          <w:sz w:val="20"/>
          <w:shd w:fill="FFFFFF" w:val="clear"/>
        </w:rPr>
        <w:t xml:space="preserve">ertain early-stage clinical trials of our pherine product candidates were conducted outside of the U.S. Clinical trials conducted in one country may not be accepted by regulatory authorities in other countries, and regulatory approval in one country does not guarantee regulatory approval in any other country. Although the FDA may accept data from clinical trials conducted outside the U.S., acceptance of these data is subject to conditions imposed by the FDA, and there can be no assurance that the FDA will accept data from trials conducted outside of the U.S. If the FDA does not accept the data from any trial that we conduct outside the U.S., it would likely result in the need for additional trials, which would be costly and time-consuming. </w:t>
      </w:r>
      <w:r>
        <w:rPr>
          <w:rFonts w:ascii="Times New Roman;serif" w:hAnsi="Times New Roman;serif"/>
          <w:b w:val="false"/>
          <w:color w:val="000000"/>
          <w:sz w:val="20"/>
        </w:rPr>
        <w:t>Moreover, to date, we have not submitted a NDA to the FDA or similar drug approval submissions to comparable foreign regulatory authorities for any product candidate. We must complete required nonclinical studies and clinical trials to demonstrate the safety and efficacy of our product candidates in humans before we will be able to seek or obtain any regulatory approval.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Nonclinical studies and clinical trials are expensive, difficult to design and implement, can take many years to complete. All nonclinical studies and clinical trials are inherently uncertain as to outcome. We cannot guarantee that any nonclinical studies or clinical trials will be conducted as planned or completed on schedule, if at all, or, if completed, be successful. The clinical development of our product candidates is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any of our product candidates have a beneficial effect, that effect will not be detected throughout the required phase of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adverse events or other adverse events, as well as tolerability issues, could hinder or prevent market approval and acceptance of the product candidate at issue.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lengthy regulatory approval process, as well as the unpredictability of nonclinical study and clinical trial results, may result in our failing to obtain regulatory approval to market any product candidate we develop, which would substantially harm our business, results of operations and prospects. The FDA and other comparable foreign authorities have substantial discretion in the regulatory approval process and determining when or whether regulatory approval will be granted for any product candidate that we develop. Even if we believe the data collected from completed or future clinical trials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product candidates are promising, such data may not be sufficient to support regulatory approval by the FDA or any other regulatory authority.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even if we were to obtain regulatory approval of any of our product candidates, regulatory authorities may approve any of our product candidates for fewer or more limited indications than we request, may not approve the price we intend to charge,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FDA or comparable foreign regulatory authorities may disagree with our regulatory plan for the development and potential approval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obtain FDA approval of our product candidates, we must, among other things, demonstrate substantial evidence of the effectiveness of such product candidates. FDA has generally considered this demonstration of substantial evidence of the effectiveness to require data gathered from at least two adequate and well-controlled clinical trials of the product candidate in the relevant patient population, or in some cases, one adequate and well-controlled trial plus other confirmatory evidence. Adequate and well-controlled clinical trials typically involve a large number of patients, have significant costs and take years to complete. The FDA or other regulatory authorities may disagree with us about whether a clinical trial is adequate and well-controlled or may request or provide feedback to suggest that we conduct additional nonclinical studies or clinical trials prior to granting any regulatory approval. In addition, there is no assurance that the doses, dosing strategy, endpoints and trial designs that we use for our clinical trials, including trials developed based on feedback from the FDA or other regulatory agencies or those that have been used for the approval of similar drugs, will be acceptable for future approvals. For example, while we designed the Phase 3 public speaking challenge studies in our U.S. registration-directed PALISADE program for fasedienol for the acute treatment of SAD using a public speaking challenge with SUDS as the primary efficacy endpoint based on FDA communications, the FDA also communicated that additional studies or data are needed to support approval. For example, the Repeat Dose Study was designed to incorporate FDA feedback to evaluate the effect of repeat dosing of fasedienol, potential dosing interval for repeat dose, as well as potential dose response and duration of effect, but the FDA may ultimately determine that the study or its results are not adequate to support approval. Moreover, we plan to generate additional evidence recommended by the FDA to further characterize the clinical meaningfulness of the duration and magnitude of effect of fasedienol, but there can be no assurance that the design of our completed, ongoing and/or planned clinical trials or other activities to address FDA feedback on the development program will be satisfactory to FDA. or that the FDA will not require us to modify our development plans or clinical trial designs, conduct additional clinical trials, generate additional information. There can also no assurance that evidence generated from the PALISADE program will assist in supporting regulatory approval, particularly given that the FDA has not granted regulatory approval to a drug on the basis of SUDS as a primary efficacy endpoint and the FDA has recommended that we generate additional evidence to support its interpretation of the SUDS endpoint, including the clinical meaningfulness of the duration and magnitude of effect on the SUDS. Even if our ongoing and/or future clinical trials achieve their primary efficacy endpoint, there can be no assurance that the FDA will find them sufficient to support approval. Moreover, there are limited precedents for trial design, trial endpoints and regulatory pathway for the acute treatment of SAD and certain other therapeutic indications we are pursuing through the development of our product candidates, including fasedienol for the acute treatment of SAD, itruvone for the treatment of MDD and refisolone for the management of VMS (hot flashes) due to menopause, which may make clinical development and regulatory approval for those product candidates more challenging.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clinical trial results may not support approval of our product candidates. In addition, our product candidates could fail to receive regulatory approval, or regulatory approval could be delayed, for many reasons, including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comparable foreign regulatory authorities may disagree as to the design or implementation of our clinical trials, including with respect to the dosing regimen utilized in a particular trial or the statistical analysis plan used to analyze trial data;</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comparable foreign regulatory authorities may not file or accept our NDA or marketing application for substantive review;</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other equivalent non-U.S. regulatory authorities may find the chemistry, manufacturing and controls, or data insufficient to support the quality of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be unable to demonstrate to the satisfaction of the FDA or comparable foreign regulatory authorities that our product candidates are safe and effective for any of their proposed indications;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results of our clinical trials may not meet the level of statistical significance required by the FDA or comparable foreign regulatory authorities for approval;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be unable to demonstrate that our product candidates’ clinical and other benefits outweigh their safety risks;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comparable foreign regulatory authorities may disagree with our interpretation of data from our nonclinical studies or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data collected from clinical trials of our product candidates may not be sufficient to the satisfaction of the FDA or comparable foreign regulatory authorities to support the submission of a NDA or other comparable submission in foreign jurisdictions or to obtain regulatory approval in the U.S. or elsewhere;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comparable foreign regulatory authorities may find deficiencies with or fail to approve the manufacturing processes or facilities of third-party manufacturers with which we contract for clinical and commercial supplies;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are dependent on third parties having accurately generated, collected, interpreted and reported data from certain preclinical studies and clinical trials that were previously conducted for our product candidates.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We have acquired our pherine product candidates from Pherin Pharmaceuticals, Inc. (</w:t>
      </w:r>
      <w:r>
        <w:rPr>
          <w:rFonts w:ascii="Times New Roman;serif" w:hAnsi="Times New Roman;serif"/>
          <w:b w:val="false"/>
          <w:i/>
          <w:color w:val="000000"/>
          <w:sz w:val="20"/>
        </w:rPr>
        <w:t>Pherin</w:t>
      </w:r>
      <w:r>
        <w:rPr>
          <w:rFonts w:ascii="Times New Roman;serif" w:hAnsi="Times New Roman;serif"/>
          <w:b w:val="false"/>
          <w:color w:val="000000"/>
          <w:sz w:val="20"/>
        </w:rPr>
        <w:t>), now our wholly-owned subsidiary, and Pherin undertook research and development of such product candidates prior to our acquisitions. We had no involvement with or control over the preclinical and clinical development of our pherine product candidates prior to acquiring or licensing them from Pherin. Therefore, we are dependent, in part, on Pherin’s prior research and development efforts in accordance with the applicable protocols, legal and regulatory requirements, and scientific standards utilized by them; having accurately reported the results of all preclinical studies and clinical trials conducted with respect to such product candidates and having correctly collected and interpreted the data from these studies and trials. These risks also apply to any product candidates that we may acquire or in-license in the future, if any. If these activities were not compliant, accurate or correct, the clinical development, regulatory approval or commercialization of our pherine product candidates will be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our clinical trials fail to replicate results from earlier preclinical studies or clinical trials conducted by us or third parties, we may be unable to successfully develop, obtain regulatory approval for or commercialize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results observed from earlier preclinical studies or early-stage clinical trials of our product candidates, including positive results, may not necessarily be predictive of the results of ongoing or future clinical trials. Furthermore, our product candidates may not be able to demonstrate similar activity or adverse event profiles as other product candidates that we believe may have similar profiles. In addition, in our planned future clinical trials, we may utilize clinical trial designs or dosing regimens that have not been tested in prior clinical trials.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there is a high failure rate for drugs candidate proceeding through clinical trials and there can be no assurance that any of our clinical trials will ultimately be successful. We, and many other companies in the pharmaceutical and biotechnology industries, have suffered significant setbacks in late-stage clinical trials after achieving positive results in earlier-stage development, such as the failure of our PALISADE-1 and PALISADE-3 Phase 3 clinical trials of fasedienol to meet its primary or secondary endpoints, and we cannot be certain that we will not face similar setbacks in the future. In addition to the risk of ongoing or planned clinical trials failing to meet primary endpoints, setbacks may also be caused by, among other things, preclinical findings made while clinical trials were underway or safety or efficacy observations made in preclinical studies and clinical trials, including previously unreported adverse events. Such failures or setback may have a material adverse effect on our ability to develop, obtain regulatory approval for or ultimately commercialize any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incur unexpected costs or experience material delays in completing, or ultimately be unable to complete, the contract manufacturing, nonclinical and clinical development and commercialization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obtain the regulatory approvals to commercialize any of our product candidates, we must demonstrate through extensive nonclinical studies and clinical trials that our product candidates are safe and effective in humans. We have experienced, and may further experience delays in completing our contract manufacturing, clinical trials or nonclinical studies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initiating or completing additional clinical trials or nonclinical studies, including as a result of regulators not allowing or delay in allowing clinical trials to proceed under an IND or similar approval we need to initiate a clinical trial. We may also experience numerous unforeseen events during our clinical trials that could delay or prevent our ability to receive regulatory approval or commercialize the product candidates we develop,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regulators, institutional review board (</w:t>
      </w:r>
      <w:r>
        <w:rPr>
          <w:rFonts w:ascii="Times New Roman;serif" w:hAnsi="Times New Roman;serif"/>
          <w:b w:val="false"/>
          <w:i/>
          <w:color w:val="000000"/>
          <w:sz w:val="20"/>
        </w:rPr>
        <w:t>IRBs</w:t>
      </w:r>
      <w:r>
        <w:rPr>
          <w:rFonts w:ascii="Times New Roman;serif" w:hAnsi="Times New Roman;serif"/>
          <w:b w:val="false"/>
          <w:color w:val="000000"/>
          <w:sz w:val="20"/>
        </w:rPr>
        <w:t>), or other reviewing bodies such as ethics committees may not authorize us or our investigators to commence a clinical trial, or to conduct or continue a clinical trial at a prospective or specific trial site;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not reach agreement on acceptable terms with CROs and clinical trial sites, the terms of which can be subject to extensive negotiation and may vary significantly among different CROs and clinical trial sites;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experience further challenges or delays in recruiting principal investigators or clinical trial sites to lead our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number of subjects or patients required for clinical trials of our product candidates may be larger than we anticipate, enrollment in these clinical trials may be insufficient or materially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third-party contractors, including CDMOs, CROs, clinical research sites or other third-parties acting on our behalf or in connection with our nonclinical studies and clinical trials, may fail to comply with regulatory requirements or meet their contractual obligations to us in a timely manner, or at all;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have to amend clinical trial protocols submitted to regulatory authorities or conduct additional studies to reflect changes in regulatory requirements or guidance, which may be required to resubmit to an IRB and regulatory authorities for re-examination;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potential for approval policies or regulations of the FDA or the applicable foreign regulatory agencies to significantly change in a manner rendering our clinical data insufficient for approval.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clinically meaningful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demonstrate efficacy and safety results adequate to obtain regulatory approval to market our product candidates for the indications that we are pursuing. If later-stage clinical trials do not produce favorable results, our ability to obtain regulatory approval for and commercialize our product candidates will be adversely impacted.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failure to successfully initiate and complete required nonclinical studies and clinical trials and to demonstrate the efficacy and safety necessary to obtain regulatory approval to market our product candidates would significantly harm our business. Our product candidate development costs will also increase substantially if we experience delays in testing or regulatory approvals and we may be required to obtain additional funds to complete necessary nonclinical studies or clinical trials. We cannot assure you that our nonclinical studies or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nonclinical studies or clinical trials may ultimately lead to the denial of regulatory approval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clinical development activities could be materially delayed or otherwise adversely affected by difficulties enrolling and randomizing patients in our clinical trials.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experienced, and may continue to experience, difficulties in patient enrollment and randomization in our clinical trials for a variety of reasons, including the stringent entry eligibility criteria for our clinical trials. The timely completion of clinical trials requiring rigorous adherence to clinical trial protocols depends, among other things, on our ability to enroll and randomize a sufficient number of patients who qualify for and remain in the trial until its conclusion.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Patient enrollment and randomization in a clinical trial is affected by many factors,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patient eligibility criteria defined in the protocol for such clinical trial;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size and nature of the patient population required for analysis of the trial’s primary efficacy endpoints;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severity of the disease or condition under investigation in such clinical trial;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proximity of patients to clinical trial sites;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design of the trial;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recruit, train and retain clinical trial investigators and clinical research site staff with the appropriate competencies and experience through the duration of the trial;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competing clinical trials and clinicians’ and patients’ perceptions as to the potential advantages and risks of the product candidate being studied in relation to other available therapies, including any drugs that may be approved for the indications that we are investigating;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patient recruitment or referral practices of centralized recruiting firms, clinical trial sites and physicians;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ability to monitor patients adequately during and after treatment in the trial;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obtain and maintain patient consents;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risk that patients enrolled in our clinical trials will drop out before completion.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experience challenges in recruiting principal investigators and patients to participate in ongoing and future clinical trials for our product candidates if we are unable to sufficiently demonstrate the potential of such product candidates to them.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to participate in our clinical trials at such clinical trial site. Furthermore, if significant adverse events or other side effects are observed in any of our clinical trials that are related to or deemed to be caused by any of our product candidates, we may have difficulty recruiting patients to our trials and patients may drop out of our trials. Finally, business disruptions, including those relating to natural disasters (including as a result of climate change), geopolitical incidents, pandemics or macroeconomic conditions, may disrupt our clinical trials.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inability to enroll and randomize a sufficient number of patients for our clinical trials would result in significant delays or might require us to abandon one or more clinical trials or our development efforts altogether. Material delays in patient enrollment and randomization may result in increased costs, affect the timing or outcome of ongoing or planned clinical trials and the public disclosure of trial results, product candidate development and regulatory approval process and jeopardize our ability to raise additional capital and seek and obtain the regulatory approval required to commence product sales and generate revenue, which could prevent completion of these trials, adversely affect our ability to advance the development of our product candidates, cause the value of the Company to decline and limit our ability to obtain additional financing if needed.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Changes in methods of product candidate manufacturing or formulation may result in additional costs or delay.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product candidates proceed through preclinical studies and clinical trials towards potential regulatory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or comparable foreign regulatory authorities' notification or approval. This could delay or prevent completion of clinical development, require conducting bridging clinical trials or the repetition of one or more clinical trials, increase clinical development costs, delay or prevent regulatory approval of our product candidates and jeopardize our ability to commence sales and generate revenue.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Even if we complete the necessary preclinical studies and clinical trials, the regulatory approval process is expensive, time-consuming and uncertain and may prevent us from obtaining regulatory approvals for the commercialization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 experience in submitting and supporting the applications necessary to gain marketing approvals and expect to rely on third-party CROs and regulatory consultants to augment our internal personnel and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extensive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process of obtaining marketing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personnel and review processes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experience delays in obtaining approval or if we fail to obtain approval of any product candidates we may develop, the commercial prospects for those product candidates may be harmed, and our ability to generate revenues will be materially impaired.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Interim, topline and preliminary data from our nonclinical studies or clinical trials that we may announce or publish from time to time may change as more patient data becomes available and are subject to audit and verification procedures that could result in material changes in the final data.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publish or publicly disclose interim, topline or preliminary data from our nonclinical studies or clinical trials. These publications or disclosures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topline, or preliminary results that we report may differ from future results of the same studies or trials, or different conclusions or considerations may qualify such results, once additional data have been received and fully evaluated.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 Further, disclosure of such data by us or by our competitors could result in volatility in the price of our common stock.</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information we choose to publicly disclose regarding a particular study or clinical trial is based on what is typically extensive information, if we publicly disclose certain information, you or others may not agree with what we determine is material or otherwise appropriate information to include in our disclosure, and any information we determine not to disclose may ultimately be deemed significant with respect to future decisions, conclusions, strategies, views, activities or otherwise regarding a particular product candidate or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do not achieve our projected development and commercialization goals in the timeframes we announce and expect, the development and commercialization of our product candidates may be delayed, and our business and results of operations may be significantly harmed.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planning purposes, we sometimes estimate the timing of the accomplishment of various scientific, clinical, regulatory and other product development activities or objectives. These milestones may include our expectations regarding the commencement or completion of scientific studies and clinical trials, the submission of regulatory filings, the timing of regulatory meetings, review or approvals, or initiation of commercialization activities or objectives. From time to time, we may publicly announce the expected timing of some of these milestones, such as the completion of an ongoing clinical trial of a product candidate, the initiation of other clinical programs, outcomes of regulatory meetings, receipt of regulatory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and adversely affect our business,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available capital resources or capital constraints we experience;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rate of progress, costs and results of our clinical trials and research and development activities, including the extent of scheduling conflicts with participating clinicians, collaborators and trial participants;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identify, enroll and randomize patients who meet clinical trial eligibility criteria;</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receipt of approvals by the FDA and other regulatory authorities and the timing thereof;</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 actions, decisions or rules issued by the FDA and other regulators;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access sufficient, reliable and affordable supplies of materials used to manufacture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efforts of our collaborators with respect to the development and commercialization of our product candidates;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securing of costs related to, and timing issues associated with, product manufacturing as well as sales and marketing activities.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fail to achieve announced milestones in the timeframes we expect, the development and commercialization of our product candidates may be delayed, and our business and results of operations may be significantly harmed.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depend heavily on the success of one or more of our current product candidates and we cannot be certain that we will be able to obtain regulatory approval for or commercialize any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not permitted to market our product candidates in the U.S. until we receive FDA approval of a NDA, or in any foreign countries until we receive the requisite approval from such countries. Obtaining FDA approval of a NDA is a complex, lengthy, expensive and uncertain process. The FDA may refuse to permit the submission of our NDA, delay, limit or deny approval of a NDA for many reasons, including,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FDA advisory committee may recommend, or the FDA may require, a Risk Evaluation and Mitigation Strategy (</w:t>
      </w:r>
      <w:r>
        <w:rPr>
          <w:rFonts w:ascii="Times New Roman;serif" w:hAnsi="Times New Roman;serif"/>
          <w:b w:val="false"/>
          <w:i/>
          <w:color w:val="000000"/>
          <w:sz w:val="20"/>
        </w:rPr>
        <w:t>REMS</w:t>
      </w:r>
      <w:r>
        <w:rPr>
          <w:rFonts w:ascii="Times New Roman;serif" w:hAnsi="Times New Roman;serif"/>
          <w:b w:val="false"/>
          <w:color w:val="000000"/>
          <w:sz w:val="20"/>
        </w:rPr>
        <w:t>) safety program as a condition of approval or post-approval;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FDA advisory committee or the FDA or applicable regulatory agency may determine that there is insufficient evidence of overall effectiveness or safety in a NDA and require additional clinical studies or other information;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comparable foreign regulatory authorities may determine that the manufacturing processes or facilities of third-party contract manufacturers with which we contract do not conform to applicable requirements, including cGMPs; or</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FDA or applicable foreign regulatory agency may change its approval policies or adopt new regulations.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of these factors, many of which are beyond our control, could jeopardize our ability to obtain regulatory approval for and commercialize any current or future product candidate we may develop. Any such setback in our pursuit of regulatory approval for any product candidate would have a material adverse effect on our business and prospects.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In addition, all of our pherine product candidates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As drug-device combination candidates, each will require review and coordination by FDA’s drug and device centers prior to regulatory approval, which may delay approval. In the U.S., a combination product with a drug primary mode of action generally would be reviewed and approved pursuant to the drug approval processes under the FDCA. In reviewing the NDA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Management System Regulations (</w:t>
      </w:r>
      <w:r>
        <w:rPr>
          <w:rFonts w:ascii="Times New Roman;serif" w:hAnsi="Times New Roman;serif"/>
          <w:b w:val="false"/>
          <w:i/>
          <w:color w:val="000000"/>
          <w:sz w:val="20"/>
        </w:rPr>
        <w:t>QMSR</w:t>
      </w:r>
      <w:r>
        <w:rPr>
          <w:rFonts w:ascii="Times New Roman;serif" w:hAnsi="Times New Roman;serif"/>
          <w:b w:val="false"/>
          <w:color w:val="000000"/>
          <w:sz w:val="20"/>
        </w:rPr>
        <w:t>) applicable to medical devices. Problems associated with the device component of the combination product candidate may delay or prevent regulatory approval. Any such delay would have a material adverse effect on our business and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Undesirable side effects caused by any of our product candidates could cause us or regulatory authorities to interrupt, delay or halt clinical trials and could result in a more restrictive label or the delay or denial of regulatory approval by the FDA or comparable foreign regulatory authorities. We may also observe safety or tolerability issues with our product candidates in ongoing or future clinical trials. Many product candidates that initially showed promise in clinical trials or earlier-stage testing are later found to cause undesirable or unexpected side effects that prevent further development of the product candidate. Results of future clinical trials of our product candidates could reveal a high and unacceptable severity and prevalence of side effects or unexpected characteristics, despite a favorable tolerability profile observed in earlier-stage testing. 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unacceptable side effects arise in the development of our product candidates, specifically those deemed to be caused by or directly related to any of our product candidates, we, the FDA or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or comparable foreign regulatory authorities could order us to cease clinical trials or deny approval of our product candidates for any or all targeted indications. Treatment-emergent adverse events that are deemed to be drug-related could delay recruitment of clinical trial subjects or may cause subjects that enroll in our clinical trials to discontinue participation in our clinical trials. In addition, these adverse events may not be appropriately recognized or managed by the treating medical staff. We may need to train medical personnel using our product candidates to understand the adverse event and side effect profiles for our clinical trials and upon any commercialization of any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Inadequate training in recognizing or managing the potential adverse events or side effects of our product candidates could result in harm to patients that are administered our product candidates. Any of these occurrences may adversely affect our business, financial condition and prospects significantly.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engage in similar actions, such as patient education, certification of health care professionals or specific monitoring, if we or others later identify undesirable side effects caused by any product. Other potentially significant negative consequences associated with adverse events include: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be required to suspend marketing of a product, or we may decide to remove such product from the marketplace;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regulatory authorities may withdraw or modify their approvals of our product;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be required to conduct post-marketing studies;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be required to change the way our product is administered;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could be subject to fines, injunctions, or the imposition of criminal or civil penalties, or be sued and held liable for harm caused to subjects or patients;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product may become less competitive,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reputation may suffer.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our product candidates are approved by the FDA or other regulatory authorities, any of these events could diminish the usage or otherwise limit the commercial success of our product candidates and prevent us from achieving or maintaining market acceptance of our product candidates, if approved by the FDA or other regulatory authorities.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any of our product candidates are ultimately approved and regulated as controlled substances, we, third-party CDMOs,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Before we can commercialize a product candidates in the U.S. or any market outside the U.S., the U.S. Drug Enforcement Administration (</w:t>
      </w:r>
      <w:r>
        <w:rPr>
          <w:rFonts w:ascii="Times New Roman;serif" w:hAnsi="Times New Roman;serif"/>
          <w:b w:val="false"/>
          <w:i/>
          <w:color w:val="000000"/>
          <w:sz w:val="20"/>
        </w:rPr>
        <w:t>DEA</w:t>
      </w:r>
      <w:r>
        <w:rPr>
          <w:rFonts w:ascii="Times New Roman;serif" w:hAnsi="Times New Roman;serif"/>
          <w:b w:val="false"/>
          <w:color w:val="000000"/>
          <w:sz w:val="20"/>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candidates to be controlled substances, we cannot yet give any assurance that such product candidates will not be regulated as controlled substances.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any of our product candidates are regulated as controlled substances, depending on the DEA controlled substance schedule in which the product candidates are placed or that of its foreign counterpart, we, third-party CDMOs, and any future distributors,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third-party CDMOs would be subject to initial and periodic DEA inspection. If we or our third-party CDMOs are not able to obtain or maintain any necessary DEA registrations or comparable foreign registrations, we may not be able to commercialize any product candidates that are deemed to be controlled substances or we may need to find alternative CDMOs, which would take time and cause us to incur additional costs, delaying or limiting our commercialization efforts.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their restrictive nature, these laws and regulations could limit commercialization of our product candidates, should they be deemed to contain controlled substances. Failure to comply with the applicable controlled substance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have concentrated a significant portion of our research and development efforts on the treatment of neuropsychiatric disorders, a field that faces certain challenges in drug development.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focused a significant portion of our research and development efforts on addressing neuropsychiatric disorders. Efforts by pharmaceutical companies in this field have faced certain challenges in drug development. In particular, many neuropsychiatric disorders such as SAD and MDD rely on subjective assessments by clinicians and subjective patient-reported outcomes as key efficacy endpoints. This makes them more difficult to evaluate than indications with more objective endpoints. Furthermore, these indications are often subject to a placebo effect, which may make it more challenging to isolate the beneficial effects of our neuropsychiatric product candidates. There can be no guarantee that we will successfully overcome these challenges with our neuropsychiatric product candidates or that we will not encounter other challenges in the development of our other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never commercialized a product, and even if any of our product candidates is approved by the FDA or other regulatory authorities for marketing and sale, it may nonetheless fail to achieve sufficient market acceptance by physicians, patients, third-party payors and others in the medical community. Certain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any,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lack of coverage and adequate reimbursement. Even if we are able to demonstrate our product candidates’ safety and efficacy to the FDA and other regulators, safety or efficacy concerns in the medical community may hinder market acceptance.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Efforts to educate the medical community and third-party payors on the benefits of our product candidates may require significant resources, including management time and financial resources, and may not be successful. For example, even if fasedienol ultimately receives regulatory approval, we may have difficulty in convincing the medical community that fasedienol has the potential to deliver promising therapeutic benefits above and beyond antidepressants.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efficacy and safety of the product;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potential advantages of the product compared to any competitive therapies;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prevalence and severity of any side effects;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whether the product is designated under physician treatment guidelines as a first-, second- or third-line therapy;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or the ability of any future collaborators, to offer the product for sale at competitive prices;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product’s convenience and ease of administration compared to alternative treatments;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willingness of the target patient population to try, and of physicians to prescribe, the product;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limitations or warnings, including distribution or use restrictions contained in the product’s approved labeling;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strength of sales, marketing and distribution support;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the standard of care for the targeted indications for the product;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availability and adequacy of coverage and reimbursement from government payors, managed care plans and other third-party payors.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failure by one or more of our product candidates that obtains regulatory approval to achieve market acceptance or commercial success would adversely affect our business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fail to develop and commercialize other product candidates, we may be unable to grow our business and our ability to achieve our strategic objectives would be impaired.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development and commercialization of our most advanced pherine product candidate, fasedienol, is currently our primary focus, as part of our longer-term growth strategy, we plan to develop other of our clinical stage pherine product candidates. We intend to evaluate internal opportunities from our existing pherine pipeline, and also may choose to in-license or acquire other product candidates to treat patients suffering from other disorders with significant unmet medical needs and limited or suboptimal treatment options. These other potential product candidates will require additional, time-consuming development efforts prior to regulatory approval and commercial sale, including manufacturing, preclinical studies, clinical trials and approval by the FDA and comparable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intend to devote substantial capital and resources for basic research to discover and identify additional pherine product candidates. These research programs require substantial technical, financial and human resources, whether or not any product candidates are ultimately identified and advanced in preclinical and clinical development. Our research programs may initially show promise in identifying potential pherine product candidates, yet fail to yield product candidates for preclinical and clinical development for many reasons, including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research methodology used may not be successful in identifying potential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competitors may develop alternatives that render our product candidates obsolete;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product candidates that we develop may nevertheless be covered by third parties’ patents or other exclusive rights;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product candidate may, on further study, be shown to have harmful side effects or other characteristics that indicate it is unlikely to be effective or otherwise does not meet applicable regulatory criteria;</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product candidate may not be capable of being produced in commercial quantities at an acceptable cost, or at all;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product candidate may not be accepted as safe and effective by patients, the medical community or third-party payors.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should we seek to acquire additional product candidates, future acquisitions may entail numerous operational and financial risks,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exposure to unknown liabilities;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disruption of our business and diversion of management’s time and attention to develop acquired products or technologies;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incurrence of substantial debt, dilutive issuances of securities or depletion of cash to pay for acquisitions;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higher than expected acquisition and integration costs;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difficulty in combining the operations and personnel of any acquired businesses with our operations and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increased amortization expenses;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impairment of relationships with key suppliers or customers of any acquired businesses due to changes in management and ownership;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inability to motivate key employees of any acquired businesses.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are unsuccessful in identifying and developing additional product candidates, either through internal development or licensing or acquisition from third parties, our potential for growth and achieving our strategic objectives may be impaired.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number of patients with the neuroscience conditions and disorders for which we are developing our product candidates has not been established with precision. If the actual number of patients with the conditions and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products may be smaller than we expect and our revenue potential and ability to achieve profitability may be materially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neuroscience pipeline includes product candidates for a variety of conditions and disorders. There is no precise method of establishing the actual number of patients with any of these conditions and disorders in any geography over any time period. With respect to many of the indications in which we have developed, are developing, or plan to develop our product candidates, we have estimates of the prevalence of the condition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conditions or disorders we are pursuing, or may in the future pursue, including, among others, our estimates as to the prevalence of SAD, MDD and vasomotor symptoms (hot flashes) due to menopause,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and other disease indications may, however, be significantly lower than we believe. Even if our prevalence estimates are correct, our product candidates may be developed for only a subset of patients with the relevant disease or disorder or our products, if approved, may be indicated for or used by only a subset. In the event the number of patients with the conditions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condition or disorder or our other market assumptions are not accurate, the markets for our product candidates for these conditions or disorders may be smaller than we anticipate, which could limit our revenues and our ability to achieve profitability or to meet our expectations with respect to revenues or profits.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Competitive products may reduce or eliminate the commercial opportunity for our product candidates, if approved. If our competitors develop technologies or product candidates more rapidly than we do, or their technologies or product candidates are more effective and/or safer than ours, our ability to develop and successfully commercialize our product candidates may be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clinical and commercial landscapes for the treatment of neuroscience disorders, including those we are pursuing, are highly competitive and subject to rapid and significant technological change. We face competition with respect to our indications for our product candidates and will face competition with respect to any other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 candidates for the treatment of the conditions or disorders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a significant number of product candidates are currently under development for certain of the same conditions or disorders we are currently pursuing, and some or all may become commercially available in the future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pPr>
      <w:r>
        <w:rPr>
          <w:rFonts w:ascii="Times New Roman;serif" w:hAnsi="Times New Roman;serif"/>
          <w:b w:val="false"/>
          <w:color w:val="000000"/>
          <w:sz w:val="20"/>
        </w:rPr>
        <w:t>treatment of conditions or disorders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entitled “</w:t>
      </w:r>
      <w:r>
        <w:rPr>
          <w:rFonts w:ascii="Times New Roman;serif" w:hAnsi="Times New Roman;serif"/>
          <w:b w:val="false"/>
          <w:i/>
          <w:color w:val="000000"/>
          <w:sz w:val="20"/>
        </w:rPr>
        <w:t>Competition</w:t>
      </w:r>
      <w:r>
        <w:rPr>
          <w:color w:val="000000"/>
        </w:rPr>
        <w:t xml:space="preserve">” </w:t>
      </w:r>
      <w:r>
        <w:rPr>
          <w:rFonts w:ascii="Times New Roman;serif" w:hAnsi="Times New Roman;serif"/>
          <w:b w:val="false"/>
          <w:color w:val="000000"/>
          <w:sz w:val="20"/>
        </w:rPr>
        <w:t>in our Annual Report on Form 10-K for the fiscal year ended March 31, 2026, as filed with the SEC on June 15, 2026, for examples of the competition that our product candidates face.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are unable to develop our sales, marketing and distribution capability on our own or through collaborations with marketing partners, we will not be successful in commercializing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currently have no marketing, sales or distribution capabilities. We intend to establish sales and marketing capabilities,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regulatory approval of the product candidate. Any failure or delay in the development of our or a third party collaborator's internal sales, marketing and distribution capabilities would adversely impact the commercialization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Factors that may inhibit our efforts to commercialize our product candidates on our own include: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lack of sufficient capital resources available to us in a timely manner, if at all, and on commercially reasonable terms;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inability to recruit and retain adequate numbers of effective sales and marketing leadership and sales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inability of sales personnel to obtain access to or persuade adequate numbers of physicians to prescribe any future products;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lack of complementary products to be offered by sales personnel, which may put us at a competitive disadvantage relative to companies with more extensive product lines;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unforeseen costs and expenses associated with creating an independent sales and marketing organization.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our existing and future product candidates, we may choose to collaborate with third parties that have direct sales forces and established distribution systems to serve as an alternative to building or to augment our own sales force and distribution systems. In that case, our future product revenue would be lower than if we directly marketed or sold our product candidates, if approved, on our own.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do not establish sales and marketing capabilities successfully, either on our own or in collaboration with third parties, we will not be successful in commercializing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Product liability lawsuits against us or any of our future collaborators could divert our resources and attention, cause us to incur substantial liabilities and limit commercialization of our product candidates.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potential product liability and professional indemnity risks that are inherent in the research, development, manufacturing, marketing and use of pharmaceutical products. Currently, we have no products that have been approved for commercial sale; however, the use of our product candidates by us and any collaborators in clinical trials, and the sale of these product candidates, if approved, in the future, may expose us to liability claims. We face an inherent risk of product liability lawsuits related to the use of our product candidates in patients and will face an even greater risk if product candidates are approved by regulatory authorities and introduced commercially. Product liability claims may be brought against us by participants enrolled in our clinical trials, patients, health care providers, 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Regardless of the merits or eventual outcome, liability claims may result in: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decreased demand for any of our future approved products;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injury to our reputation;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withdrawal of clinical trial participants;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termination of clinical trial sites or entire trial programs;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significant litigation costs;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substantial monetary awards to, or costly settlements with, patients or other claimants;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product recalls or a change in the indications for which they may be used;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loss of revenue;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diversion of management and scientific resources from our business operations;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inability to commercialize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patients’ use or misuse of our products or any similar products distributed by other companies.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consistent with industry norms,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Cyberattacks or other failures in our telecommunications or information technology systems, or those of our collaborators, CDMOs, CROs, third-party logistics providers, distributors or other contractors or consultants, could result in information theft, data corruption and significant disruption of our business operations.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We, along with our collaborators, CDMOs, CROs, third-party logistics providers, distributors and other contractors and consultants, utilize information technology (</w:t>
      </w:r>
      <w:r>
        <w:rPr>
          <w:rFonts w:ascii="Times New Roman;serif" w:hAnsi="Times New Roman;serif"/>
          <w:b w:val="false"/>
          <w:i/>
          <w:color w:val="000000"/>
          <w:sz w:val="20"/>
        </w:rPr>
        <w:t>IT</w:t>
      </w:r>
      <w:r>
        <w:rPr>
          <w:rFonts w:ascii="Times New Roman;serif" w:hAnsi="Times New Roman;serif"/>
          <w:b w:val="false"/>
          <w:color w:val="000000"/>
          <w:sz w:val="20"/>
        </w:rPr>
        <w:t>) systems and networks to process, transmit and store electronic information, including confidential information such as proprietary business information and personal information of our employees and contractors, in connection with our business activities. As use of digital technologies has increased, our IT systems and those of our third-party service providers, strategic partners and other contractors or consultants are increasingly vulnerable to attack, damage and interruption from cyber incidents, including third parties gaining access to employee accounts using stolen or inferred credentials, computer malware (e.g., ransomware), viruses, malicious code, spamming, phishing attacks and other social engineering schemes, employee theft or misuse, human error, fraud, denial or degradation of service attacks, sophisticated nation-state and nation-state-supported actors, natural disasters, terrorism, war, telecommunication and electrical failures or other threats. Deliberate attacks and attempts to gain unauthorized access to computer systems and networks, have increased in frequency and sophistication. These threats pose a risk to the security of our, our collaborators’, CDMOs, CROs’, third-party logistics providers’, distributors’ and other contractors’ and consultants’ systems and networks, and the confidentiality, availability and integrity of our data. We may not be successful in preventing or identifying cyberattacks and may experience security breaches that may remain undetected for an extended period. Even if identified, we may be unable to adequately investigate or successfully mitigate their effects due to attackers increasingly using tools and techniques that are designed to circumvent controls, to avoid detection, and to remove or obfuscate forensic evidence. Like other companies, we have on occasion experienced, and will continue to experience, threats to our data and systems, including malicious codes and viruses, phishing, business email compromise attacks or other cyberattacks. Similarly, our collaborators, CDMOs, CROs, third-party logistics providers, distributors and other contractors and consultants may not be successful in protecting our clinical and other data that is stored on their systems.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which could have a material adverse effect on our business and prospects. For example, the loss of clinical trial data from completed or ongoing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seek to establish collaborations, and, if we are not able to establish them on commercially reasonable terms, we may have to alter our development and commercialization plans.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drug development programs and the potential commercialization of our product candidates will require substantial additional capital to fund expenses. We may decide to collaborate with pharmaceutical and biotechnology companies for the development and potential commercialization of those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derive revenue from research and development fees, license fees, milestone payments and royalties under any collaborative arrangement into which we enter.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expect to relinquish some or all of the control over the future success of a product candidate that we license to a third party in the territories included in the licenses.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upfront payments received upon execution of collaborative agreements, such as the AffaMed Agreement, may be recorded as deferred revenue, in which case they would be recognized over the period of performance for the related performance obligations with the third-party collaborator pursuant to the applicable agreement. The period of performance obligations may also be revised on a prospective basis. Assumptions related to revenue recognition for performance obligations provided over time are reviewed in each accounting period and changes are recorded in the current period. In certain circumstances, changes in assumptions related to the measure of progress for a performance obligation performed over time could result in negative revenue or the acceleration of revenue for an accounting period.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any current or future collaboration that we enter into may not be successful. The success of our current and future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could adversely affect us financially and could harm our business reputation.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future growth may depend, in part, on our ability to penetrate markets outside of the U.S., where we would be subject to additional regulatory burdens and other risks and uncertainties.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profitability may depend, in part, on our ability to develop and commercialize our product candidates with third-party collaborators in markets outside of the U.S. If we develop and commercialize our product candidates in markets outside of the U.S., we would be subject to additional risks and uncertainties,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customers’ ability to obtain reimbursement for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inability to directly control commercial activities because we are relying on third parties;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burden of complying with complex and changing foreign regulatory, tax, accounting and legal requirements;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different medical practices and customs in foreign countries affecting acceptance in the marketplace;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import or export licensing requirements;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longer accounts receivable collection times;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longer lead times for shipping;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language barriers for technical training;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reduced protection of intellectual property rights, different standards of patentability and different availability of prior art in some foreign countries as compared with the U.S.;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existence of additional potentially relevant third-party intellectual property rights;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foreign currency exchange rate fluctuations;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interpretation of contractual provisions governed by foreign laws in the event of a contract dispute.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Sales of our product candidates outside of the U.S. could also be adversely affected by the imposition of governmental controls, political and economic instability, trade restrictions and changes in tariffs.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Risks Related to Managing Our Business and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depend heavily on our key senior managerial personnel, third-party consultants and others and our ability to compete in the biopharmaceutical industry depends upon our ability to retain such highly qualified personnel. The loss of their services or our inability to hire such personnel could materially harm our business.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depends, and will likely continue to depend, upon our ability to attract and retain the services of our executive officers, key senior managerial and other key senior personnel within our organization. Our executive officers and other senior employees may terminate their employment with us at any time. In addition, we recently reduced employee headcount in connection with cost preservation efforts. As a result, the loss of the services of those employees might impede the achievement of our operational and strategic objectives.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Moreover, our ability to compete in the biopharmaceutical industry depends upon our ability to attract and retain highly qualified managerial, scientific, medical, regulatory and technical personnel. In particular, we will need to retain and, in some cases, hire, qualified personnel with expertise in clinical development and operations, preclinical research and development, manufacturing, quality management, medical and regulatory affairs, finance and accounting and other areas in connection with the continued development and commercialization of our product candidates. We currently rely, and for the foreseeable future will continue to rely, on third-party consultants and advisors, including scientific and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advisors, to assist us in formulating certain of our research and development objectives and activities as well as the development of certain of our commercialization strategies.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 and the cultural fit to be a leader in our organization. Competition to hire from this limited pool is intense, and we may be unable to hire, train, retain or motivate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Further, inflationary pressure may increase our costs, including employee compensation costs or result in employee attrition to the extent our compensation does not keep up with inflation, particularly if our competitors’ compensation does.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services of third-party consultants and advisors will continue to be available to us on a timely basis when needed, that we will be able to manage our existing consultants and advisors or that we can find qualified replacements on economically reasonable terms, or at all. Our consultants and advisors may be employed by other entities and may have commitments under consulting or advisory contracts with those entities that may limit their availability to us. If we are unable to continue to attract and retain highly qualified consultants and advisors, our ability to develop and commercialize our product candidates will be limited.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not be able to hire and/or retain a sufficient number of employees or employees with the required expertise to develop our product candidates or operate our business successfully.</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4"/>
        </w:rPr>
        <w:t>I</w:t>
      </w:r>
      <w:r>
        <w:rPr>
          <w:rFonts w:ascii="Times New Roman;serif" w:hAnsi="Times New Roman;serif"/>
          <w:b w:val="false"/>
          <w:color w:val="000000"/>
          <w:sz w:val="20"/>
        </w:rPr>
        <w:t>n March 2026, our Board of Directors approved a reduction of approximately 20% in our workforce, intended to provide disciplined cash management while prioritizing efficient execution of the ongoing clinical studies in our PALISADE Program. As of June 30, 2026, we had 41</w:t>
      </w:r>
      <w:bookmarkStart w:id="0" w:name="ic73e93874b2e49439203e562d8716d40_277294"/>
      <w:bookmarkEnd w:id="0"/>
      <w:r>
        <w:rPr>
          <w:rFonts w:ascii="Times New Roman;serif" w:hAnsi="Times New Roman;serif"/>
          <w:b w:val="false"/>
          <w:color w:val="000000"/>
          <w:sz w:val="20"/>
        </w:rPr>
        <w:t xml:space="preserve"> full-time employees. Our focus on the development of our lead product candidates requires us to optimize cash utilization and to manage and operate our business in a highly efficient manner. We cannot assure you that we will be able to retain adequate staffing levels to develop our product candidates or run our operations and/or to accomplish all of the objectives that we otherwise would seek to accomplish. If we are not able to retain adequate staffing levels or effectively expand our organization by hiring new qualified employees as needed, our clinical trials may be delayed or terminated, we may not be able to successfully execute the tasks necessary to further develop and commercialize our product candidates and, accordingly, may not achieve our development and commercialization goals.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employees, independent contractors, consultants, collaborators, CDMOs and CROs may engage in misconduct or other improper activities, including non-compliance with regulatory standards and requirements, which could cause significant liability for us and harm our reputation.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the risk that our employees, independent contractors, consultants, collaborators, CDMOs and CROs may engage in fraudulent conduct or other illegal activity.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Misconduct by those parties could include intentional, reckless and/or negligent conduct or disclosure of unauthorized activities that violates: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study and trial protocols or the FDA regulations or similar regulations of comparable non-U.S. regulatory authorities, including those laws requiring the reporting of true, complete and accurate information to such authorities;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manufacturing standards;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federal and state healthcare fraud and abuse laws and regulations and similar laws and regulations established and enforced by comparable non-U.S. regulatory authorities;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laws that require the reporting of financial information or data accurately.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of information obtained in the course of clinical trials or creating fraudulent data in our preclinical studies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clinical trials, which could result in regulatory sanctions and cause serious harm to our reputation. Activities subject to 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Unfavorable domestic or global economic or political conditions could adversely affect our business, financial condition or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results of operations could be adversely affected by either domestic or global political conditions, as well as general conditions in the domestic or global economy and in the U.S. and global financial and stock markets. Domestic and global financial and political crises cause extreme volatility and disruptions in the capital and credit markets. A severe or prolonged government shutdown and/or economic downturn, could result in a variety of risks to our business, including, weakened demand for our product candidates and our ability to raise additional capital when needed on acceptable terms, if at all. A weak or declining domestic or global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or the third parties upon whom we depend may be adversely affected by natural disasters and our business continuity and disaster recovery plans may not adequately protect us from a serious disaster.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CDMOs, or that otherwise disrupted operations, it may be difficult or, in certain cases, impossible for us to continue our business for a substantial period of time. The disaster recovery and business continuity plan we have in place may prove inadequate in the event of a serious disaster or similar event. We may incur substantial expense as a result of the limited nature of our disaster recovery and business continuity plans, which could have a material adverse effect on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Remote working arrangements could significantly increase our digital and cybersecurity risks.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Most of our employees are geographically dispersed from our headquarters facility in South San Francisco and now routinely work remotely. With the continuing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Current politics in the U.S. could diminish the value of the pharmaceutical industry, thereby diminishing the value of our securities.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political environment in the U.S. is volatile, and recent or future regulatory changes, especially leadership at the FDA, have resulted, and may continue to result, in uncertainty throughout the pharmaceutical industry and, have an adverse effect on our business and the value of our securities. This political and regulatory uncertainty may receive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relied upon and plan to continue to rely on third parties, such as CROs, clinical data management organizations, medical institutions and clinical investigators, to augment our internal personnel in the conduct of our clinical trials and expect to rely on these third parties to augment our efforts to conduct clinical trials of any product candidate that we develop. Our ability to complete clinical trials in a timely fashion depends on a number of key factors. These factors include protocol design, regulatory and IRB or ethics committee approval, patient enrollment rates and compliance with GCPs. In most cases, we use the services of third parties, including CROs, to carry out many of clinical trial-related activities and rely on such parties to accurately report their results. Our reliance on third parties for clinical development activities may impact or limit our control over the timing, conduct, expense and quality of our clinical trials. Moreover, the FDA and certain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The FDA and comparable foreign regulatory authorities enforce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U.S. Similar requirements may exist in foreign jurisdictions.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remain responsible for ensuring that each of our clinical trials is conducted in accordance with the applicable protocol, legal and regulatory requirements and scientific standards. Our failure, or the failure of our third-party contract manufacturers, to comply with applicable protocol, legal and regulatory requirements and scientific standards could result in, among other things, rejection of our clinical data, sanctions being imposed on us, including clinical holds, a refusal to file determination by the FDA, receipt of a complete response letter, fines, injunctions, civil penalties, delays, suspension or withdrawal of approvals, license revocation, seizures or recalls of product candidates, operating restrictions and criminal prosecutions, any of which could significantly affect our ability to achieve regulatory approval of our product candidates.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the clinical data generated in our clinical trials may be deemed unreliable and the FDA or comparable foreign regulatory authorities may require us to perform additional clinical trials before approving our product candidates, which would delay the regulatory approval process. We cannot be certain that, upon inspection, the FDA or comparable foreign regulatory authorities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the third parties conducting clinical trials on our behalf are not our employees, and except for remedies available to us under our agreements with such independent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the post-COVID macroeconomic environment and the inexperience of new employees. Furthermore, at clinical trial sites, the availability of staff and trial participants has been limited due to a decrease in the number of clinical investigative sites across the globe. Accordingly, enrollment and randomization of subjects in some of our clinical trials may be slower than expected as a result of these changes in the post-COVID clinical trial landscape.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also rely on third party CDMOs and others to manufacture, store and distribute drug supplies for our clinical trials. Any performance failure on the part of these third-parties could delay clinical development or regulatory approval of our product candidates or commercialization of any resulting products, producing additional losses and depriving us of potential product revenue.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of the third-party organizations we utilize may terminate their engagements with us under certain circumstances. The replacement of an existing CRO, manufacturer or other third party may result in the delay of the affected trials or otherwise adversely affect our efforts to obtain regulatory approvals and commercialize our product candidates. Although we believe we have diversified our risk by engaging a number of CROs and other third-party organizations and there are a number of other CROs we could engage to continue these activities, we may not be able to enter into alternative arrangements or do so on commercially reasonable terms or in a timely manner.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and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use of third party CDMOs to manufacture our product candidates may increase the risk that we will not have sufficient quantities of our product candidates, raw materials, active pharmaceutical ingredients (APIs) or drug products when needed or at an acceptable cost.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party CDMOs.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currently rely on and engage third-party CDMOs to provide all of the API and the final filled and finished drug product formulation of all of our product candidates that are being used in our clinical trials and preclinical studies. Although we believe that there are several potential alternative manufacturers who could manufacture our product candidates, we may incur added costs and delays in identifying and qualifying any such replacement. However, if necessary, we can provide no assurance that we will be able to find an alternative manufacturer on acceptable terms.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third-party CDMOs we rely on from time to time may have limited or no experience manufacturing our API and final drug products. If our third-party CDMOs have difficulty or suffer delays in successfully manufacturing material that meets our specifications, it may limit supply of our product candidates and could delay our clinical trials.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Even if we are able to establish and maintain arrangements with third-party CDMOs, reliance on third-party CDMOs entails additional risks,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failure of the third-party CDMOs to comply with applicable regulatory requirements and reliance on third parties for manufacturing process development, regulatory compliance and quality assurance;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manufacturing delays if our third-party CDMOs give greater priority to the supply of other products over our product candidates or otherwise do not satisfactorily perform according to the terms of the agreement between us;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limitations on supply availability resulting from capacity and scheduling constraints of third parties;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possible breach of manufacturing agreements by third parties because of factors beyond our control;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possible termination or non-renewal of the manufacturing agreements by the third party CDMO, at a time that is costly or inconvenient to us;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possible misappropriation of our proprietary information, including our trade secrets and know-how.</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do not maintain our key third-party CDMO relationships, we may fail to find replacement manufacturers or develop our own manufacturing capabilities, which could delay or impair our ability to obtain regulatory approval for our product candidates. If we do find replacement third-party CDMO, we may not be able to enter into agreements with them on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and conditions favorable to us and there could be a substantial delay before new facilities could be qualified and registered with the FDA and other foreign regulatory authorities.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if any third-party CDMO with whom we contract fails to perform its obligations, we may be forced to manufacture the materials ourselves, for which we do not and may not ever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unique or proprietary to the original third-party contract manufacturer and we may have difficulty, or there may be contractual restrictions prohibiting us from, transferring such skills to a back-up or alternate supplier, or we may be unable to transfer such skills at all. In addition, if we are required to change third-party CDMOs for any reason, we will be required to verify that the new third-party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We may be unsuccessful in demonstrating the comparability of clinical supplies, which could require the conduct of additional clinical trials. The delays associated with the verification of a new third-party CDMO could negatively affect our ability to develop product candidates or commercialize our products in a timely manner or within budget. Furthermore, a third-party CDMO may possess technology related to the manufacture of our product candidate that such third party owns independently. This would increase our reliance on such third-party CDMO or require us to obtain a license from such third-party CDMO in order to have another third party CDMO manufacture our product candidates.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any of our product candidates is approved by any regulatory agency, we intend to utilize arrangements with third-party CDMOs for the commercial production of those products. This process is difficult and time consuming and we may face competition for access to manufacturing facilities as there are a limited number of CDMOs operating under cGMPs that are capable of manufacturing our product candidates. Consequently, we may not be able to reach agreement with third-party contract manufacturers on satisfactory terms, which could delay our commercialization.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Some of our third-party CDMOs are located outside of the U.S. There is currently significant uncertainty about the future relationship between the U.S. and various other countries, including Canada, China, India, Mexico and the United Kingdom with respect to trade policies, treaties, government regulations and tariffs. Increased tariffs could potentially disrupt our existing supply chains and impose additional costs on our business. Additionally, it is possible further tariffs may be imposed that could affect imports of APIs used in our product candidates, or our business may be adversely impacted by retaliatory trade measures taken by Canada, China, India, Mexico and the United Kingdom or other countries, including restricted access to raw materials we may use in our product candidates. Given the unpredictable regulatory environment in the U.S. and uncertainty regarding how the U.S. or foreign governments will act with respect to tariffs, international trade agreements and policies, further governmental action related to tariffs, additional taxes, regulatory changes or other retaliatory trade measures in the future could occur with a corresponding detrimental impact on our business and financial condition.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failure, or the failure of our third-party CDMOs,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third-party CDMOs to manufacture our product candidates must be evaluated by the FDA or comparable foreign regulatory authorities in connection with any NDA or other application we may submit. We do not control the manufacturing process of, and are completely dependent on, our contract manufacturing partners for compliance with cGMPs and similar foreign requirements. If our third-party contract manufacturers cannot successfully manufacture material that conforms to our specifications and the strict regulatory requirements of the FDA or others, we may not be able to secure and/or maintain regulatory approval for our product candidates manufactured at these facilities. In addition, we have no control over the ability of our third-party contract manufacturers to maintain adequate quality control, quality assurance and qualified personnel. If the FDA finds deficiencies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Third-party contract manufacturers may face manufacturing or quality control problems causing drug substance production and shipment delays or a situation where the contractor may not be able to maintain compliance with the applicable cGMP requirements. Any failure to comply with cGMP and similar foreign requirements or other FDA and comparable foreign regulatory requirements could adversely affect our clinical research activities and our ability to develop our product candidates and market our products, if approved.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FDA and other foreign regulatory authorities require our third-party CDMOs to register manufacturing facilities. The FDA and corresponding foreign regulators also inspect these facilities to confirm compliance with cGMPs and similar foreign requirements.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Failure of any third-party CDMO to comply with cGMP requirements for applicable drug/device combination products could significantly affect supplies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expect each of our current clinical-stage pherine product candidates, fasedienol, refisolone, itruvone, PH15, and PH284, will be considered drug-device combination products. Third-party CDMOs may not be able to comply with cGMP requirements applicable to drug/device combination products, including applicable provisions of the FDA’s or a comparable foreign regulatory authority’s drug cGMP regulations, device cGMP requirements embodied in the QMSR or similar regulatory requirements outside the U.S. Our failure, or the failure of our third-party contract manufacturers, to comply with applicable regulations could result in material adverse effects,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any third-party CDMO of our product candidates is unable to increase the scale of its production of our product candidates or increase the product yield of its manufacturing, then our manufacturing costs may increase and commercialization may be delayed.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produce sufficient quantities to meet the demand for clinical trials and, if approved, subsequent commercialization of our product candidates, our third-party CDMOs will be required to increase their production and optimize their manufacturing processes while maintaining the quality of our product candidates. The transition to larger scale production could prove difficult. In addition, if our third-party CDMOs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need to maintain licenses for APIs from third parties to develop and commercialize some of our product candidates, which could increase our development costs and delay our ability to commercialize those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Should we decide to use any APIs in any of our product candidates that are proprietary to one or more third parties, we would need to maintain licenses to those APIs from those third parties. If we are unable to gain or continue to access rights to these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U.S. and requirements of comparable foreign regulatory authorities. In addition, we will be subject to continued compliance with cGMP and similar foreign requirements and GCP requirements for any clinical trials that we conduct post-approval.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Manufacturers and manufacturers’ facilities are required to comply with extensive FDA and comparable foreign regulatory authority requirements, including ensuring that quality control and manufacturing procedures conform to cGMP and similar foreign regulations and applicable product tracking and tracing requirements. As such, we and our contract manufacturers will be subject to continual review and inspections to assess compliance with cGMP and similar foreign requirements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restrictions on the marketing or manufacturing of our products, withdrawal of the product from the market or voluntary product recalls;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fines, warning letters or holds on clinical trials;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refusal by the FDA or comparable foreign regulatory authorities to approve pending applications or supplements to approved applications filed by us or suspension or withdrawal of approvals;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product seizure or detention or refusal to permit the import or export of our product candidates;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FDA and certain foreign regulatory authorities strictly regulate marketing, labeling, advertising and promotion of products that are placed on the market. Products may be promoted only for the approved indications and in accordance with the provisions of the approved label. The policies of the FDA and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0"/>
        <w:jc w:val="both"/>
        <w:rPr/>
      </w:pPr>
      <w:r>
        <w:rPr/>
      </w:r>
    </w:p>
    <w:p>
      <w:pPr>
        <w:pStyle w:val="TextBody"/>
        <w:bidi w:val="0"/>
        <w:spacing w:lineRule="auto" w:line="276" w:before="0" w:after="200"/>
        <w:jc w:val="both"/>
        <w:rPr>
          <w:rFonts w:ascii="Times New Roman;serif" w:hAnsi="Times New Roman;serif"/>
          <w:b/>
          <w:i/>
          <w:color w:val="000000"/>
          <w:sz w:val="20"/>
        </w:rPr>
      </w:pPr>
      <w:r>
        <w:rPr>
          <w:rFonts w:ascii="Times New Roman;serif" w:hAnsi="Times New Roman;serif"/>
          <w:b/>
          <w:i/>
          <w:color w:val="000000"/>
          <w:sz w:val="20"/>
        </w:rPr>
        <w:t>While we have in the past and may in the future seek designations for our product candidates with the FDA and comparable foreign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The FDA and comparable foreign regulatory authorities offer certain designations for product candidates. These programs are designed to encourage the research and development of product candidates that are intended to address serious conditions. These designations may confer benefits such as additional interaction with regulatory authorities and eligibility for expedited review procedures.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 For example, we have in the past and may in the future seek fast track designation and/or Breakthrough Therapy designation for some of our product candidates. The FDA has broad discretion whether or not to grant these designations, so even if we believe a particular product candidate is eligible for this designation, there can be no assurance that the FDA would decide to grant it.</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The FDA has granted fast track designation for development of fasedienol for the acute treatment of SAD, for development of itruvone for the treatment of MDD, and for development of AV-101 for the adjunctive treatment of MDD and the treatment of neuropathic pain, and we may seek fast track designation for some of our other pherine product candidates. If a drug or biologic is intended for the treatment of a serious or life-threatening condition and the therapy demonstrates the potential to address unmet medical needs for this condition, the therapy sponsor may be eligible for Fast Track designation.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NDA is submitted, the application may be eligible for priority review. A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The receipt of fast track designation for development of fasedienol for acute treatment of SAD, for itruvone for the treatment of MDD and AV-101 for the adjunctive treatment of MDD and for the treatment of neuropathic pain, and any future receipt of fast track designation for other product candidates, does not guarantee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A breakthrough therapy is defined as a drug or biologic that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a product candidate that has been designated as a Breakthrough Therapy, interaction and communication between the FDA and the sponsor of the trial can help to identify the most efficient path for clinical development while minimizing the number of patients placed in ineffective control regimens. Product candidates receiving Breakthrough Therapy designation also receive the same benefits associated with fast track designation, described above. Designation as a Breakthrough Therapy is within the sole discretion of the FDA. Accordingly, even if we believe one of our product candidates meets the criteria for designation as a Breakthrough Therapy, the FDA may disagree and instead determine not to make such designation. For example, the FDA has declined to grant our requests for breakthrough therapy designation for fasedienol for the acute treatment of SAD.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Therapy designation, the FDA may later decide that such product candidates no longer meet the conditions for qualification.</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Some of our programs have been partially supported by government grant awards. Although we do not currently rely on government funding nor do we have a present intent to seek further grant funding from governmental agencies, should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that change, such funding may not be available to us in the future or subject us to federal regulations such as “march-in” rights, certain reporting requirements and a preference for U.S. industry.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Currently, we do not rely on grant funding from government agencies for our development programs, and we do not have a present intent to seek grant funding from government agencies. While not a current priority, we may apply for grant funding from governmental agencies in the future. However, funding by these governmental agencies may be significantly reduced or eliminated in the future for a number of reasons. For example, some programs are subject to a yearly appropriations process in Congress. In addition, we may not receive full funding under current or future grants because of budgeting constraints of the agency administering the program or unsatisfactory progress on the study being funded. Therefore, we cannot assure you that we will receive any future grant funding from any government agencies, or, that if received, we will receive the full amount of the particular grant award. Any such reductions could delay the development of our product candidates.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Moreover, any intellectual property rights generated through the use of U.S. government funding are subject to the Bayh-Dole Act of 1980 (</w:t>
      </w:r>
      <w:r>
        <w:rPr>
          <w:rFonts w:ascii="Times New Roman;serif" w:hAnsi="Times New Roman;serif"/>
          <w:b w:val="false"/>
          <w:i/>
          <w:color w:val="000000"/>
          <w:sz w:val="20"/>
        </w:rPr>
        <w:t>Bayh-Dole Act</w:t>
      </w:r>
      <w:r>
        <w:rPr>
          <w:rFonts w:ascii="Times New Roman;serif" w:hAnsi="Times New Roman;serif"/>
          <w:b w:val="false"/>
          <w:color w:val="000000"/>
          <w:sz w:val="20"/>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(1) adequate steps have not been taken to commercialize the invention; (2) government action is necessary to meet public health or safety needs; or (3) government action is necessary to meet requirements for public use under federal regulations, which we refer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w:t>
      </w:r>
    </w:p>
    <w:p>
      <w:pPr>
        <w:pStyle w:val="TextBody"/>
        <w:bidi w:val="0"/>
        <w:spacing w:before="0" w:after="0"/>
        <w:jc w:val="both"/>
        <w:rPr/>
      </w:pPr>
      <w:r>
        <w:rPr/>
      </w:r>
    </w:p>
    <w:p>
      <w:pPr>
        <w:pStyle w:val="TextBody"/>
        <w:bidi w:val="0"/>
        <w:spacing w:lineRule="auto" w:line="276" w:before="0" w:after="200"/>
        <w:jc w:val="both"/>
        <w:rPr>
          <w:rFonts w:ascii="Times New Roman;serif" w:hAnsi="Times New Roman;serif"/>
          <w:b w:val="false"/>
          <w:color w:val="000000"/>
          <w:sz w:val="20"/>
        </w:rPr>
      </w:pPr>
      <w:r>
        <w:rPr>
          <w:rFonts w:ascii="Times New Roman;serif" w:hAnsi="Times New Roman;serif"/>
          <w:b w:val="false"/>
          <w:color w:val="000000"/>
          <w:sz w:val="20"/>
        </w:rPr>
        <w:t>As a result of any future arrangement involving government funding, and if we make inventions as a result of such funding, intellectual property rights to such discoveries may be subject to the applicable provisions of the Bayh-Dole Act.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w:t>
      </w:r>
    </w:p>
    <w:p>
      <w:pPr>
        <w:pStyle w:val="TextBody"/>
        <w:bidi w:val="0"/>
        <w:spacing w:lineRule="auto" w:line="276" w:before="0" w:after="200"/>
        <w:jc w:val="both"/>
        <w:rPr>
          <w:rFonts w:ascii="Times New Roman;serif" w:hAnsi="Times New Roman;serif"/>
          <w:b/>
          <w:i/>
          <w:color w:val="000000"/>
          <w:sz w:val="20"/>
        </w:rPr>
      </w:pPr>
      <w:r>
        <w:rPr>
          <w:rFonts w:ascii="Times New Roman;serif" w:hAnsi="Times New Roman;serif"/>
          <w:b/>
          <w:i/>
          <w:color w:val="000000"/>
          <w:sz w:val="20"/>
        </w:rPr>
        <w:t>Our relationships with healthcare providers,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Federal and state healthcare laws and regulations that may affect our ability to operate include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fines and criminal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federal civil and criminal false claims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federal Civil Monetary Penalties Law, which prohibits, among other things, the submission of false or fraudulent claims, the employment or contracting of an excluded individual or entity, and offering or transferring remuneration to a federal healthcare beneficiary that a person knows or should know is likely to influence the beneficiary’s selection of a particular provider, practitioner, or supplier of reimbursable items or services;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federal Health Insurance Portability and Accountability Act of 1996 (</w:t>
      </w:r>
      <w:r>
        <w:rPr>
          <w:rFonts w:ascii="Times New Roman;serif" w:hAnsi="Times New Roman;serif"/>
          <w:b w:val="false"/>
          <w:i/>
          <w:color w:val="000000"/>
          <w:sz w:val="20"/>
        </w:rPr>
        <w:t>HIPAA</w:t>
      </w:r>
      <w:r>
        <w:rPr>
          <w:rFonts w:ascii="Times New Roman;serif" w:hAnsi="Times New Roman;serif"/>
          <w:b w:val="false"/>
          <w:color w:val="000000"/>
          <w:sz w:val="20"/>
        </w:rPr>
        <w:t>), which prohibits, among other things,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federal Physician Payments Sunshine Act, which requires applicable manufacturers of drugs, devices, biologics and medical supplies for which payment is available under Medicare, Medicaid or the Children’s Health Insurance Program to report annually to the U.S. Centers for Medicare &amp; Medicaid Services, within the U.S. Department of Health and Human Services, information related to payments or other transfers of value made to physicians (defined to include doctors, dentists, optometrists, podiatrists and chiropractors), certain non-physician practitioners including nurse practitioners, certified nurse anesthetists, anesthesiologist assistants, physician assistants, clinical nurse specialists, and certified nurse midwives) as well as teaching hospitals and to disclose ownership and investment interests held by physicians and their immediate family members;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federal government price reporting laws, which require manufacturers to calculate and report complex pricing metrics in an accurate and timely manner to government programs;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federal consumer protection and unfair competition laws, which broadly regulate marketplace activities and activities that potentially harm consumers.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government-funded healthcare programs and imprisonment. If any of the above occur, our ability to operate our business and our results of operations could be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Coverage and reimbursement may be limited or unavailable in certain market segments for our product candidates, if approved, which could make it difficult for us to sell any product candidates profitably.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covered benefit under its health plan;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safe, effective and medically necessary;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appropriate for the specific patient;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cost-effective;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neither experimental nor investigational.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U.S.,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Private health insurers and other third-party payors in the U.S. often follow the coverage and reimbursement policies of government payors, including the Medicare or Medicaid programs.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if approved. Patients are unlikely to use our product candidates, once approved, unless coverage is provided and reimbursement is adequate to cover a significant portion of their cost. There is significant uncertainty related to insurance coverage and reimbursement of newly approved products. It is difficult to predict at this time whether and to what extent coverage and reimbursement for our product candidates will be available from third-party payors.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We cannot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increasing efforts by governmental and other third-party payors in the U.S.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Healthcare legislative and regulatory reform measures may have a material adverse effect on our business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regulations, statutes or the interpretation of existing regulations or statutes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U.S. Governments have shown significant interest in implementing cost-containment programs, including price controls, restrictions on reimbursement and requirements for substitution of generic products. For instance, in August 2022, the Inflation Reduction Act of 2022 (the </w:t>
      </w:r>
      <w:r>
        <w:rPr>
          <w:rFonts w:ascii="Times New Roman;serif" w:hAnsi="Times New Roman;serif"/>
          <w:b w:val="false"/>
          <w:i/>
          <w:color w:val="000000"/>
          <w:sz w:val="20"/>
        </w:rPr>
        <w:t>IRA</w:t>
      </w:r>
      <w:r>
        <w:rPr>
          <w:rFonts w:ascii="Times New Roman;serif" w:hAnsi="Times New Roman;serif"/>
          <w:b w:val="false"/>
          <w:color w:val="000000"/>
          <w:sz w:val="20"/>
        </w:rPr>
        <w:t>) was signed into law. The IRA includes several provisions that will impact our business to varying degrees.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became effective in 2026, and the subsequent 15 drugs, which will first be effective in 2027. CMS has also published the next set of 15 drugs that will be subject to negotiation. The IRA permits the Secretary of the Department of Health and Human Services (</w:t>
      </w:r>
      <w:r>
        <w:rPr>
          <w:rFonts w:ascii="Times New Roman;serif" w:hAnsi="Times New Roman;serif"/>
          <w:b w:val="false"/>
          <w:i/>
          <w:color w:val="000000"/>
          <w:sz w:val="20"/>
        </w:rPr>
        <w:t>HHS</w:t>
      </w:r>
      <w:r>
        <w:rPr>
          <w:rFonts w:ascii="Times New Roman;serif" w:hAnsi="Times New Roman;serif"/>
          <w:b w:val="false"/>
          <w:color w:val="000000"/>
          <w:sz w:val="20"/>
        </w:rPr>
        <w:t>)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 Any reduction in reimbursement from Medicare or other government programs may result in a similar reduction in payments from private payors. All of our disclosed product candidates are small molecule drugs and certain of them are being developed in indications that may rely heavily on Medicare reimbursement, such as depression. Accordingly, the IRA price-negotiation provisions may have a negative impact on our future revenue and profits. Adoption of price controls and cost-containment measures, and adoption of more restrictive policies in jurisdictions with existing controls and measures, could further limit our revenue generated from the sale of any approved products. Even if we do receive a favorable coverage determination for our products by third-party payors, coverage policies and third-party payor reimbursement rates may change at any time.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products. Congress has indicated that it will continue to seek new legislative measures to control drug costs. The continuing efforts of the government, insurance companies, managed care organizations and other payers of healthcare services to contain or reduce costs of healthcare may adversely affect: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demand for any of our product candidates, if approved;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ability to set a price that we believe is fair for any of our product candidates, if approved;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generate revenues and achieve or maintain profitability;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level of taxes that we are required to pay;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availability of capital.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current administration is also pursuing a two-fold strategy to reduce drug costs in the U.S. The current administration’s policies are likely to have a negative impact on the pharmaceutical industry and on our ability to receive adequate revenues for our products, if approved. On the one hand, the current U.S. president threatened to impose significant tariffs on pharmaceutical manufacturers that do not adopt pricing policies such as most favored nation pricing, which would tie the price for drugs in the U.S. to the lowest price in a group of other countries. In response, multiple manufacturers entered into confidential pricing agreements with the federal government. Subsequently, in April 2026, the current administration issued a proclamation imposing tariffs under Section 232 of the Trade Expansion Act on imports of brand pharmaceuticals, biologics and associated pharmaceutical ingredients, beginning July 31, 2026. Exempted from these tariffs, among others, are companies that have executed or are negotiating agreements with the federal government regarding most favored nation pricing and onshoring of production and research and development. On the other hand, the current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pharmaceutical pricing and marketing has long been the subject of considerable discussion in Congress and among policymakers, and it is possible that Congress could enact additional laws that negatively affect the pharmaceutical industry.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Moreover, the individual states in the United States have become increasingly active in developing proposals, passing legislation and implementing regulations designed to control drug pricing, including price or patient reimbursement constraints, discounts, formulary flexibility, marketing cost disclosure, drug price increase reporting, and other transparency measures. Some states have enacted legislation creating so-called prescription drug affordability boards, with the goal of imposing price limits on certain drugs in these states.</w:t>
      </w:r>
      <w:r>
        <w:rPr>
          <w:color w:val="000000"/>
        </w:rPr>
        <w:t xml:space="preserve"> </w:t>
      </w:r>
      <w:r>
        <w:rPr>
          <w:rFonts w:ascii="Times New Roman;serif" w:hAnsi="Times New Roman;serif"/>
          <w:b w:val="false"/>
          <w:color w:val="000000"/>
          <w:sz w:val="20"/>
        </w:rPr>
        <w:t>At least one state board is imposing an upper payment limit, although the implementation is subject to ongoing litigation.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for any approved product candidate or the frequency with which any approved product candidate is prescribed or used.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or clearances of our product candidates, if any, may be.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Off-label use or misuse of our product candidates may harm our reputation in the marketplace or result in injuries that lead to costly product liability suits.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our product candidates are approved by the FDA or comparable foreign regulatory authorities, we may only promote or market our product candidates in a manner consistent with their FDA-approved labeling (or the label approved by foreign regulatory authorities).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Furthermore, the use of our product candidates for indications other than those approved by the FDA or comparable foreign regulatory authorities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Reduction in staffing and/or inadequate funding for the FDA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ability of the FDA and comparable foreign regulatory authorities to review and approve new products can be affected by a variety of factors, including staffing levels, government budget and funding levels, ability to hire and retain key personnel and accept the payment of user fees, and statutory, regulatory, and policy changes. Average review times at the FDA and comparable foreign regulatory authorities,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Disruptions and personnel turnover, as a result of leadership changes, staff reductions or otherwise, or changes to key personnel, including those on relevant regulatory review teams at the FDA, other government agencies and comparable foreign regulatory authorities may also slow the time necessary for new drugs to be reviewed and/or approved by necessary government agencies and comparable foreign regulatory authorities, which would adversely affect our business. For example, in recent years, the U.S. government has shut down several times and certain regulatory agencies, such as the FDA, have had to furlough critical employees and stop critical activities.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current U.S. Presidential administration has issued certain policies and Executive Orders directed towards reducing the employee headcount and costs associated with U.S. administrative agencies, including the FDA and the USPTO, and it remains unclear the degree to which these efforts may limit or otherwise adversely affect ability of these agencies to conduct routine activities. If funding shortages, policy changes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 Significant reductions in, or disruptions to, staffing and resources available at the USPTO could also lead to delays in the examination or approval of patent applications, or to other challenges in securing and/or enforcing our intellectual property rights.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are subject to evolving global data protection laws and regulations, which may require us to incur substantial compliance costs, and any failure or perceived failure by us to comply with such laws and regulations may harm our business and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U.S., HIPAA, as amended by the Health Information Technology for Economic and Clinical Health Act of 2009, and regulations implemented thereunder, imposes, among other things, certain standards relating to the privacy,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pPr>
      <w:r>
        <w:rPr>
          <w:rFonts w:ascii="Times New Roman;serif" w:hAnsi="Times New Roman;serif"/>
          <w:b w:val="false"/>
          <w:color w:val="000000"/>
          <w:sz w:val="20"/>
        </w:rPr>
        <w:t>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w:t>
      </w:r>
      <w:r>
        <w:rPr>
          <w:rFonts w:ascii="Times New Roman;serif" w:hAnsi="Times New Roman;serif"/>
          <w:b w:val="false"/>
          <w:i/>
          <w:color w:val="000000"/>
          <w:sz w:val="20"/>
        </w:rPr>
        <w:t>CCPA</w:t>
      </w:r>
      <w:r>
        <w:rPr>
          <w:rFonts w:ascii="Times New Roman;serif" w:hAnsi="Times New Roman;serif"/>
          <w:b w:val="false"/>
          <w:color w:val="000000"/>
          <w:sz w:val="20"/>
        </w:rPr>
        <w:t>)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California Privacy Rights Act (</w:t>
      </w:r>
      <w:r>
        <w:rPr>
          <w:rFonts w:ascii="Times New Roman;serif" w:hAnsi="Times New Roman;serif"/>
          <w:b w:val="false"/>
          <w:i/>
          <w:color w:val="000000"/>
          <w:sz w:val="20"/>
        </w:rPr>
        <w:t>CPRA</w:t>
      </w:r>
      <w:r>
        <w:rPr>
          <w:rFonts w:ascii="Times New Roman;serif" w:hAnsi="Times New Roman;serif"/>
          <w:b w:val="false"/>
          <w:color w:val="000000"/>
          <w:sz w:val="20"/>
        </w:rPr>
        <w:t>)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also be required. Other states have enacted similar consumer privacy laws that grant rights to data subjects and place privacy and security obligations on entities handling personal data of consumers or households. While we are not currently subject to laws such as the CCPA, such state privacy laws and similar legislation proposed at the state and federal level could mark the beginning of a trend toward more stringent privacy legislation in the U.S., which could increase our potential liability and adversely affect our business.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In addition to our operations in the U.S., which may be subject to healthcare and other laws relating to the privacy and security of health information and other personal information, we may seek to conduct future clinical trials in the United Kingdom or the European Economic Area (the </w:t>
      </w:r>
      <w:r>
        <w:rPr>
          <w:rFonts w:ascii="Times New Roman;serif" w:hAnsi="Times New Roman;serif"/>
          <w:b w:val="false"/>
          <w:i/>
          <w:color w:val="000000"/>
          <w:sz w:val="20"/>
        </w:rPr>
        <w:t>EEA</w:t>
      </w:r>
      <w:r>
        <w:rPr>
          <w:rFonts w:ascii="Times New Roman;serif" w:hAnsi="Times New Roman;serif"/>
          <w:b w:val="false"/>
          <w:color w:val="000000"/>
          <w:sz w:val="20"/>
        </w:rPr>
        <w:t>) and may become subject to additional European data privacy laws, regulations and guidelines. We will be subject to the data protection laws of the EU and United Kingdom in relation to personal data we collect from these territories. These laws impose additional obligations and risk upon our business, including substantial expenses and changes to business operations that are required to comply with these laws. For example, the European Union General Data Protection Regulation (</w:t>
      </w:r>
      <w:r>
        <w:rPr>
          <w:rFonts w:ascii="Times New Roman;serif" w:hAnsi="Times New Roman;serif"/>
          <w:b w:val="false"/>
          <w:i/>
          <w:color w:val="000000"/>
          <w:sz w:val="20"/>
        </w:rPr>
        <w:t>EU GDPR</w:t>
      </w:r>
      <w:r>
        <w:rPr>
          <w:rFonts w:ascii="Times New Roman;serif" w:hAnsi="Times New Roman;serif"/>
          <w:b w:val="false"/>
          <w:color w:val="000000"/>
          <w:sz w:val="20"/>
        </w:rPr>
        <w:t>) went into effect in May 2018 and imposes strict requirements for processing the personal data of individuals within the EEA or in the context of our activities within the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some of the personal data we process in respect of clinical trial participants is special category or sensitive personal data under the EU GDPR, and subject to additional compliance obligations and to local law derogations. Since the beginning of 2021, after the end of the transition period following the withdrawal of the United Kingdom from the EU (</w:t>
      </w:r>
      <w:r>
        <w:rPr>
          <w:rFonts w:ascii="Times New Roman;serif" w:hAnsi="Times New Roman;serif"/>
          <w:b w:val="false"/>
          <w:i/>
          <w:color w:val="000000"/>
          <w:sz w:val="20"/>
        </w:rPr>
        <w:t>Brexit</w:t>
      </w:r>
      <w:r>
        <w:rPr>
          <w:rFonts w:ascii="Times New Roman;serif" w:hAnsi="Times New Roman;serif"/>
          <w:b w:val="false"/>
          <w:color w:val="000000"/>
          <w:sz w:val="20"/>
        </w:rPr>
        <w:t xml:space="preserve">), we may also be subject to the United Kingdom General Data Protection Regulation and Data Protection Act 2018 (collectively, the </w:t>
      </w:r>
      <w:r>
        <w:rPr>
          <w:rFonts w:ascii="Times New Roman;serif" w:hAnsi="Times New Roman;serif"/>
          <w:b w:val="false"/>
          <w:i/>
          <w:color w:val="000000"/>
          <w:sz w:val="20"/>
        </w:rPr>
        <w:t>UK GDPR</w:t>
      </w:r>
      <w:r>
        <w:rPr>
          <w:rFonts w:ascii="Times New Roman;serif" w:hAnsi="Times New Roman;serif"/>
          <w:b w:val="false"/>
          <w:color w:val="000000"/>
          <w:sz w:val="20"/>
        </w:rPr>
        <w:t>) which imposes separate but similar obligations to those under the EU GDPR and comparable penalties, including fines of up to £17.5 million or 4% of a noncompliant company’s global annual revenue for the preceding financial year, whichever is greater. The subsequent separation of the data protection regimes of these territories mean we are required to comply with separate data protection laws in the EU and United Kingdom, which may lead to additional compliance costs and could increase our overall risk.</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The EU and UK GDPR (collectively, the</w:t>
      </w:r>
      <w:r>
        <w:rPr>
          <w:color w:val="000000"/>
        </w:rPr>
        <w:t xml:space="preserve"> </w:t>
      </w:r>
      <w:r>
        <w:rPr>
          <w:rFonts w:ascii="Times New Roman;serif" w:hAnsi="Times New Roman;serif"/>
          <w:b w:val="false"/>
          <w:i/>
          <w:color w:val="000000"/>
          <w:sz w:val="20"/>
        </w:rPr>
        <w:t>GDPR</w:t>
      </w:r>
      <w:r>
        <w:rPr>
          <w:rFonts w:ascii="Times New Roman;serif" w:hAnsi="Times New Roman;serif"/>
          <w:b w:val="false"/>
          <w:color w:val="000000"/>
          <w:sz w:val="20"/>
        </w:rPr>
        <w:t>), which deals with the processing of personal data and on the free movement of such data, imposes a broad range of strict requirements, including requirements relating to having lawful bases for processing personal data and transferring such information outside the EEA/UK, including to the U.S.,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assessments and record-keeping. In addition to fines, a breach of the GDPR may result in regulatory investigations, reputational damage, orders to cease/ change our data processing activities, enforcement notices, assessment notices (for a compulsory audit) and/or civil claims (including class actions).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The GDPR imposes strict rules on the transfer of personal data out of the EEA/UK to countries not regarded by European Commission and the United Kingdom government as providing adequate protection, or the third countries, including the U.S. and the efficacy and longevity of current transfer mechanisms between the EEA and the U.S. remains uncertain. Case law from the Court of Justice of the European Union (</w:t>
      </w:r>
      <w:r>
        <w:rPr>
          <w:rFonts w:ascii="Times New Roman;serif" w:hAnsi="Times New Roman;serif"/>
          <w:b w:val="false"/>
          <w:i/>
          <w:color w:val="000000"/>
          <w:sz w:val="20"/>
        </w:rPr>
        <w:t>CJEU</w:t>
      </w:r>
      <w:r>
        <w:rPr>
          <w:rFonts w:ascii="Times New Roman;serif" w:hAnsi="Times New Roman;serif"/>
          <w:b w:val="false"/>
          <w:color w:val="000000"/>
          <w:sz w:val="20"/>
        </w:rPr>
        <w:t xml:space="preserve">)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October 7, 2022, President Biden signed an Executive Order on ‘Enhancing Safeguards for U.S. Intelligence Activities’ which introduced new redress mechanisms and binding safeguards to address the concerns raised by the CJEU in relation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pPr>
      <w:r>
        <w:rPr>
          <w:rFonts w:ascii="Times New Roman;serif" w:hAnsi="Times New Roman;serif"/>
          <w:b w:val="false"/>
          <w:color w:val="000000"/>
          <w:sz w:val="20"/>
        </w:rPr>
        <w:t>to data transfers from the EEA to the U.S. and which formed the basis of the new EU-US Data Privacy Framework (</w:t>
      </w:r>
      <w:r>
        <w:rPr>
          <w:rFonts w:ascii="Times New Roman;serif" w:hAnsi="Times New Roman;serif"/>
          <w:b w:val="false"/>
          <w:i/>
          <w:color w:val="000000"/>
          <w:sz w:val="20"/>
        </w:rPr>
        <w:t>DPF</w:t>
      </w:r>
      <w:r>
        <w:rPr>
          <w:rFonts w:ascii="Times New Roman;serif" w:hAnsi="Times New Roman;serif"/>
          <w:b w:val="false"/>
          <w:color w:val="000000"/>
          <w:sz w:val="20"/>
        </w:rPr>
        <w:t>), as released on December 13, 2022. The European Commission adopted its Adequacy Decision in relation to the DPF on July 10, 2023, rendering the DPF effective as a EU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On October 12, 2023, the UK Extension to the DPF came into effect (as approved by the UK Government), as a UK GDPR data transfer mechanism to U.S. entities self-certified under the UK Extension to the DPF. We expect the existing legal complexity and uncertainty regarding international personal data transfers to continue. In particular, we expect the DPF Adequacy Decision to be challenged and international transfers to the U.S.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This may lead to additional compliance costs and could increase our overall risk.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Should we conduct future clinical trials in the U.K. or EU, we cannot assure you that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reputation and materially harm our business. As we continue to expand into other foreign countries and jurisdictions, we may be subject to additional laws and regulations that may affect how we conduct business.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Additional laws and regulations governing international operations could negatively impact or restrict our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expand our operations outside of the U.S., we must dedicate additional resources to comply with numerous laws and regulations in each jurisdiction in which we plan to operate. The FCPA prohibits any U.S.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Risks Related to Our Intellectual Property Rights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If we are unable to adequately protect our proprietary technology or obtain and maintain issued patents that are sufficient to protect our product candidates, others could compete against us, which would have a material adverse impact on our business, results of operations, financial condition and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strive to protect and enhance the proprietary technologies that we believe are important to our business, including seeking patents intended to cover our product candidates, their compositions and formulations, their methods of use and methods of manufacturing, delivery devices and any other inventions we consider important to the development of our business. We also rely on trade secrets to protect aspects of our business that are not amenable to, or that we do not consider appropriate for, patent protection.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will depend significantly on our ability to obtain and maintain commercially meaningful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patents and patent applications related to product candidates fasedienol, itruvone, refisolone, PH15, and AV-101 and nasal spray delivery devices, and have licensed patents and patent applications related to certain stem cell technologies.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own certain issued patents, license others and have patent applications pending relating to our product candidates in the U.S. and selected countries in other markets, we cannot provide any assurances that our pending U.S. and corresponding foreign patent applications will mature into issued patents and, if they do, that any of our patents will include claims with a scope sufficient to protect our product candidates or otherwise provide any competitive advantage.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other parties may have developed technologies that may be related or competitive to our product candidates and may have filed or may file patent applications and may have been granted or may be granted patents that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 and may limit or eliminate our ability to commercialize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 to country.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obtain valid and enforceable patents depends, among other factors, on whether the differences between our technology and the prior art allow our inventions to be patentable over the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vary among the countries in which we pursue patents.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some patent-related uncertainty exists because of the challenge of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Another source of uncertainty pertains to patent properties that were in-licensed by us for which prior art submissions were under the control of the licensor. We rely on these licensors to satisfy the relevant disclosure obligations.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any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USPTO and various other foreign governmental patent agencies require compliance with a number of procedural, documentary, fee payment, and other provisions during the patent process. There are situations in which noncompliance can result in the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Even if patents are granted in the U.S. or other countries, third parties may challenge the validity, enforceability, or scope of such issued patents or any other issued patents we own or license, which may result in such patents being narrowed, invalidated, or held unenforceable.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U.S. and foreign patents and patent applications may be subject to various types of infringement and validity proceedings, including interference proceedings, ex parte reexamination, inter partes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a patent or rejection of a patent application or loss or reduction in the scope of one or more of the claims of the patent or patent in such a way that they no longer cover our product candidates or competitive products of third parties.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though an issued patent is presumed valid and enforceable, its issuance is not conclusive as to its validity or its enforceability, and the patent may not provide us with adequate proprietary protection or competitive advantages against competitors with similar products. Even if a patent is granted and is held to be valid and enforceable, competitors may be able to design around our patents, for example, by using pre-existing or newly developed technology or non-infringing formulations, devices, or methods of their use. Other parties may develop and obtain patent protection for more effective technologies, designs, or methods.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we or one of our licensing partners initiated legal proceedings against a third party to enforce a patent covering one of our product candidates, the defendant could counterclaim that the patent covering our product candidate is invalid and/or unenforceable. In patent litigation in the U.S., defendant counterclaims alleging invalidity and/or unenforceability are commonplace. Grounds for a validity challenge include alleged failures to meet any of several statutory requirements, including lack of novelty, obviousness, and non-enablement. Grounds for unenforceability assertions include allegations that someone connected with the prosecution of the patent withheld relevant information from the USPTO or made a misleading statement during prosecution.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Third parties may also raise similar claims before administrative bodies in the U.S.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U.S., and we may encounter significant problems in protecting our proprietary rights in these countries. Moreover, public policy, both within and outside the U.S., has become increasingly unfavorable toward intellectual property rights. We cannot be certain that we will secure and maintain adequate patent protection for new products and technologies in the United States and other important markets. If these developments were to occur, they could have a material adverse effect on our sales.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by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we initiate, or in which we participate as a third party, and the damages or other remedies awarded if we prevail may not be commercially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could be materially and adversely impacted. In addition, if a court found that valid, enforceable patents held by third parties covered our product candidates, our financial position and results of operations could also be materially and adversely impacted.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Overall, the degree of future protection for our proprietary rights is uncertain, and we cannot ensure that: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granted patents related to our product candidates or any pending patent applications, if granted and challenged by others, will include or maintain claims having a scope sufficient to protect these product candidates or any other products or product candidates against generic or other competition, particularly considering that any patent rights to these compounds per se have expired;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of our pending patent applications will issue as patents at all;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will be able to successfully commercialize our product candidates, if approved, before our relevant patents expire;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were the first to make the inventions covered by each of our patents and pending patent applications;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were the first to file patent applications for these inventions;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others will not develop similar or alternative technologies that do not infringe our patents;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others will not use pre-existing technology to effectively compete against us;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of our patents, if issued, will ultimately be found to be valid and enforceable, including on the basis of prior art relating to our patent applications and patents;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any of our U.S. patents, if issued, will be eligible for listing in the FDA’s “Approved Drug Products with Therapeutics Equivalents Evaluations” (commonly known as </w:t>
      </w:r>
      <w:r>
        <w:rPr>
          <w:rFonts w:ascii="Times New Roman;serif" w:hAnsi="Times New Roman;serif"/>
          <w:b w:val="false"/>
          <w:i/>
          <w:color w:val="000000"/>
          <w:sz w:val="20"/>
        </w:rPr>
        <w:t>the Orange Book</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patents that are listed in the Orange Book may be challenged by the Federal Trade Commission or other as being listed inappropriately and subsequently removed, thereby depriving the Company of significant patent enforcement protections;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any patents currently held or issued to us in the future will provide a basis for an exclusive market for our commercially viable products, will provide us with any competitive advantages or will not be challenged by third parties;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will develop additional proprietary technologies or product candidates that are separately patentable; or</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commercial activities or products will not infringe the patents or proprietary rights of others.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also may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who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 and we may thereby lose intellectual property protection.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a failure to prevail in such proceedings could have a material adverse effect on the success of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cannot assure that our business, product candidates, and proprietary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inter partes reviews, or derivation proceedings before the U.S. or other jurisdictions.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biopharmaceutical industry is characterized by extensive litigation regarding patents and other intellectual property rights. Other parties may allege that our product candidates or the use of our technologies infringe their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devices,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types of proceedings can be expensive and time-consuming and many of our own or our licensors’ or collaborators’ adversaries in these proceedings may have the ability to dedicate substantially greater resources to prosecuting these kinds of legal actions than we or our licensors or collaborators can dedicate. Our defense of litigation or other proceedings may fail and, even if successful, may result in substantial costs and distract our management and other employees. We may not be able to prevent, alone or with our licensors, the misappropriation of our intellectual property rights, particularly in countries where the laws may not protect those rights as fully as in the U.S. or the European Union.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The outcome of intellectual property litigation is subject to uncertainties that cannot be adequately quantified in advance. For example, the U.S. Supreme Court recently decided </w:t>
      </w:r>
      <w:r>
        <w:rPr>
          <w:rFonts w:ascii="Times New Roman;serif" w:hAnsi="Times New Roman;serif"/>
          <w:b w:val="false"/>
          <w:i/>
          <w:color w:val="000000"/>
          <w:sz w:val="20"/>
        </w:rPr>
        <w:t>Hikma v. Amarin</w:t>
      </w:r>
      <w:r>
        <w:rPr>
          <w:color w:val="000000"/>
        </w:rPr>
        <w:t xml:space="preserve"> </w:t>
      </w:r>
      <w:r>
        <w:rPr>
          <w:rFonts w:ascii="Times New Roman;serif" w:hAnsi="Times New Roman;serif"/>
          <w:b w:val="false"/>
          <w:color w:val="000000"/>
          <w:sz w:val="20"/>
        </w:rPr>
        <w:t>(June 2026), which concerned alleged “induced” infringement by a generic manufacturer that obtained FDA approval to market a drug under a “skinny label” corresponding to an unpatented treatment method while a second indication remained under patent. The Court found that merely stating that a product was a generic equivalent did not constitute active steps to encourage infringement of the patented treatment indication. Although this decision will not have any direct, immediate impact on the Company, it could be relevant in the future should the Company receive FDA approval to treat multiple indications using unpatented compounds or formulations. In addition, the coverage of patents is subject to interpretation by the courts, and the interpretation is not always uniform and is subject to change.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 unfavorable outcome in the foregoing kinds of proceedings could require us or our licensors or collaborators to cease using the related technology or developing or commercializing one or more of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developments. If securities analysts or investors perceive these results to be negative, it could have a material adverse effect on the price of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Patent litigation and other types of intellectual property litigation can involve complex factual and legal questions, and litigation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are unable to obtain such a license, we may be forced to stop or delay developing, manufacturing, selling or otherwise commercializing one or more of our product candidates.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Patent litigation and other types of intellectual property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intellectual property litigation or claims could force us to do one or more of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cease developing, selling or otherwise commercializing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pay substantial damages for past use of the asserted intellectual property;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obtain a license from the holder of the asserted intellectual property, which license may not be available on commercially reasonable terms, if at all;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 the case of trademark claims, redesign, or rename, some or all of our product candidates to avoid infringing the intellectual property rights of third parties, which may not be possible and, even if possible, could be costly and time-consuming.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of these risks coming to fruition could have a material adverse effect on our business, results of operations, financial condition and prospects.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be subject to claims challenging the inventorship or ownership of our patents and other intellectual property.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do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Filing, prosecuting, and defending patents on product candidates in all countries and jurisdictions throughout the world is prohibitively expensive, and our intellectual property rights in some countries outside the U.S. could be absent, unavailable or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filing date of each of our patent applications and the time periods allowed for filing related applications in a given country. Thus, for each of the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families that we believe provide coverage for our lead product candidates or technologies, we must decide where and when to pursue protection outside the U.S.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In addition, we may not be able to obtain a trademark registration in the US or other countries that provides optimal brand name protection, and we may not be able to obtain the same trademark registration in the US and other countries. Even if we pursue and obtain issued patents in particular jurisdictions, our patent claims or other intellectual property rights may not be effective or sufficient to prevent third parties from so competing.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relevant foreign jurisdictions may be inadequate to obtain a significant commercial advantage from the intellectual property that we develop or license.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Some intellectual property that we have licensed may have been discovered through government-funded programs and thus may be subject to federal regulations such as “march-in” rights, certain reporting requirements, and a preference for U.S. industry. Compliance with such regulations may limit our exclusive rights, subject us to an expenditure of resources with respect to reporting requirements and limit our ability to contract with non-U.S. manufacturers.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Some of the intellectual property rights we have licensed or may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These U.S. government rights in certain inventions developed under a government-funded program include a non-exclusive, non-transferable, irrevocable worldwide license to use inventions for any governmental purpose.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Intellectual property generated under a government-funded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U.S.to the extent they are commercialized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not a current priority, in the event that we apply for additional U.S. government funding, and we discover compounds or drug candidates as a result of such funding, intellectual property rights to such discoveries may be subject to the applicable provisions of the Bayh-Dole Act.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do not obtain additional protection under the Hatch-Waxman Amendments and similar foreign legislation by extending the patent terms or obtaining regulatory and data exclusivity for our product candidates, our business may be materially harmed.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fasedienol, itruvone, or AV-101 is used in another drug company’s product candidate and that product candidate is the first to obtain FDA approval.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Changes in U.S. patent law could diminish the value of patents in general, thereby impairing our ability to protect our products.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recent U.S. Supreme Court rulings have narrowed the scope of patent protection available in certain circumstances and weakened the rights of patent owners in certain situations. The full impact of these decisions is not yet known. Recent court decisions and related USPTO examination guidelines must be considered, particularly as they relate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what types of inventions are eligible for patent protection. Foreign patent and intellectual property laws are also evolving and are not predictable as to their impact on the Company and other biopharmaceutical companies.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be subject to damages resulting from claims that we or our employees have wrongfully used or disclosed alleged trade secrets of their former employers.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another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to defend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Numerous factors may limit any potential competitive advantage provided by our intellectual property rights.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others may be able to develop and/or practice technology that is similar to our technology or aspects of our technology but that is not covered by the claims of patents, should such patents issue from our patent applications;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might not have been the first to make the inventions covered by a pending patent application that we own;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might not have been the first to file patent applications covering an invention;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others may independently develop similar or alternative technologies without infringing our intellectual property rights;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pending patent applications that we own or license may not lead to issued patents;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patents, if issued, that we own or license may not provide us with any competitive advantages, or may be held invalid or unenforceable or be narrowed, as a result of legal challenges by our competitors;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third parties may compete with us in jurisdictions where we do not pursue and obtain patent protection;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may not be able to obtain and/or maintain necessary or useful licenses on reasonable terms or at all;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patents of others may have an adverse effect on our business.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significantly harm our business and results of operations.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Risks Related to our Securities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fail to regain compliance with the continued listing requirements of the Nasdaq Capital Market, our common stock may be delisted and the price of our common stock and our ability to access the capital markets could be negatively impacted. Moreover, there can be no assurance that we will be able to regain compliance with such Nasdaq continued listing standards in the future.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On August 4, 2026, the Company received a notification (the </w:t>
      </w:r>
      <w:r>
        <w:rPr>
          <w:rFonts w:ascii="Times New Roman;serif" w:hAnsi="Times New Roman;serif"/>
          <w:b w:val="false"/>
          <w:i/>
          <w:color w:val="000000"/>
          <w:sz w:val="20"/>
        </w:rPr>
        <w:t>Extension Notice</w:t>
      </w:r>
      <w:r>
        <w:rPr>
          <w:rFonts w:ascii="Times New Roman;serif" w:hAnsi="Times New Roman;serif"/>
          <w:b w:val="false"/>
          <w:color w:val="000000"/>
          <w:sz w:val="20"/>
        </w:rPr>
        <w:t>) from the Listing Qualifications Staff of The Nasdaq Stock Market LLC (</w:t>
      </w:r>
      <w:r>
        <w:rPr>
          <w:rFonts w:ascii="Times New Roman;serif" w:hAnsi="Times New Roman;serif"/>
          <w:b w:val="false"/>
          <w:i/>
          <w:color w:val="000000"/>
          <w:sz w:val="20"/>
        </w:rPr>
        <w:t>Nasdaq</w:t>
      </w:r>
      <w:r>
        <w:rPr>
          <w:rFonts w:ascii="Times New Roman;serif" w:hAnsi="Times New Roman;serif"/>
          <w:b w:val="false"/>
          <w:color w:val="000000"/>
          <w:sz w:val="20"/>
        </w:rPr>
        <w:t xml:space="preserve">) granting the Company an additional 180 calendar day compliance period, until February 1, 2027 (the </w:t>
      </w:r>
      <w:r>
        <w:rPr>
          <w:rFonts w:ascii="Times New Roman;serif" w:hAnsi="Times New Roman;serif"/>
          <w:b w:val="false"/>
          <w:i/>
          <w:color w:val="000000"/>
          <w:sz w:val="20"/>
        </w:rPr>
        <w:t>Extension Period</w:t>
      </w:r>
      <w:r>
        <w:rPr>
          <w:rFonts w:ascii="Times New Roman;serif" w:hAnsi="Times New Roman;serif"/>
          <w:b w:val="false"/>
          <w:color w:val="000000"/>
          <w:sz w:val="20"/>
        </w:rPr>
        <w:t xml:space="preserve">), to regain compliance with the requirement that the Company's common stock maintain a minimum closing bid price of $1.00 per share for continued listing on the Nasdaq Capital Market pursuant to Nasdaq Listing Rule 5550(a)(2) (the </w:t>
      </w:r>
      <w:r>
        <w:rPr>
          <w:rFonts w:ascii="Times New Roman;serif" w:hAnsi="Times New Roman;serif"/>
          <w:b w:val="false"/>
          <w:i/>
          <w:color w:val="000000"/>
          <w:sz w:val="20"/>
        </w:rPr>
        <w:t>Minimum Bid Price Requirement</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February 3, 2026, the Company received a letter from Nasdaq indicating that, based upon the closing bid price of its common stock for the 30 consecutive business day period from December 17, 2025 through February 2, 2026, the Company did not satisfy the Minimum Bid Price Requirement, and that the Company would be afforded a compliance period of 180 calendar days, or until August 3, 2026, in which to regain compliance pursuant to Nasdaq Listing Rule 5810(c)(3)(A). The Company did not regain compliance within that period and advised Nasdaq of its intent to cure the deficiency during the Extension Period.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Extension Notice has no immediate effect on the listing of the Company's common stock, which continues to be listed and traded on the Nasdaq Capital Market, subject to the Company's compliance with the other listing requirements of Nasdaq. To regain compliance, the closing bid price of the Company's common stock must be at least $1.00 per share for a minimum of 10 consecutive business days during the Extension Period.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the Company does not regain compliance with the Minimum Bid Price Requirement during the Extension Period, Nasdaq will provide written notification that the Company's common stock is subject to delisting, at which time the Company may appeal the delisting determination to a Nasdaq Hearings Panel. There can be no assurance that the Company will regain compliance with the Minimum Bid Price Requirement or any other Nasdaq listing standard, or that any such appeal, if pursued, would be successful.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No assurance can be given that we will regain compliance with the Nasdaq continued listing standards. Failure to regain compliance with all Nasdaq continued listing standards could result in a delisting of our common stock, which could cause Nasdaq to delist our shares of common stock from trading on its exchange. If our shares of common stock were delisted from Nasdaq, we and our stockholders could face significant material adverse consequences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limited availability of market quotations for our securities;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reduced liquidity for our securities;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limited amount of news and analyst coverage;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decreased ability to issue additional securities or obtain additional financing in the future.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Market volatility may affect our stock price and the value of your investment.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market price for our common stock, similar to that of other biopharmaceutical companies, is likely to remain highly volatile. The market price of our common stock may fluctuate significantly for no apparent reason or in response to a number of factors, most of which we cannot control, including, among others: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volatility resulting from uncertainty and general economic conditions;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plans for, progress of or results from nonclinical studies and clinical trials of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failure of the FDA or other regulatory authority to review or approve our product candidates in a timely manner, or at all;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announcements of new products, technologies, commercial relationships, acquisitions or other events by us or our competitors;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success or failure of other neuroscience therapies in development by other companies;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regulatory or legal developments in the U.S. and other countries;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announcements regarding our intellectual property portfolio;</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failure of our product candidates, if approved, to achieve commercial success;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fluctuations in stock market prices and trading volumes of similar companies;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general market conditions and overall fluctuations in U.S. debt and equity markets;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variations in our quarterly operating results;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our financial guidance or securities analysts’ estimates of our financial performance;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accounting principles;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raise additional capital and the terms on which we can raise it;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sales or purchases of large blocks of our common stock, including sales or purchases by our executive officers, directors and significant stockholders;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establishment of short positions by holders or non-holders of our stock or warrants;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additions or departures of key personnel;</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discussion of us or our stock price by the press and by anonymous or other online investor communities;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 risks and uncertainties described in these risk factors.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i/>
          <w:color w:val="000000"/>
          <w:sz w:val="20"/>
        </w:rPr>
        <w:t>There may be issuances of shares of preferred stock in the future</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Our Restated Articles of Incorporation, as amended (</w:t>
      </w:r>
      <w:r>
        <w:rPr>
          <w:rFonts w:ascii="Times New Roman;serif" w:hAnsi="Times New Roman;serif"/>
          <w:b w:val="false"/>
          <w:i/>
          <w:color w:val="000000"/>
          <w:sz w:val="20"/>
        </w:rPr>
        <w:t>the Articles</w:t>
      </w:r>
      <w:r>
        <w:rPr>
          <w:rFonts w:ascii="Times New Roman;serif" w:hAnsi="Times New Roman;serif"/>
          <w:b w:val="false"/>
          <w:color w:val="000000"/>
          <w:sz w:val="20"/>
        </w:rPr>
        <w:t>), permit us to issue up to 10.0 million shares of preferred stock. As a result, our Board could authorize the issuance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i/>
          <w:color w:val="000000"/>
          <w:sz w:val="20"/>
        </w:rPr>
        <w:t>We incur significant costs to ensure compliance with corporate governance, federal securities law and accounting requirements</w:t>
      </w:r>
      <w:r>
        <w:rPr>
          <w:rFonts w:ascii="Times New Roman;serif" w:hAnsi="Times New Roman;serif"/>
          <w:b/>
          <w:color w:val="000000"/>
          <w:sz w:val="20"/>
        </w:rPr>
        <w: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We are subject to the reporting requirements of the Exchange Act which requires that we file annual, quarterly and current reports with respect to our business and financial condition, and the rules and regulations implemented by the SEC, the Sarbanes-Oxley Act of 2002, as amended (the </w:t>
      </w:r>
      <w:r>
        <w:rPr>
          <w:rFonts w:ascii="Times New Roman;serif" w:hAnsi="Times New Roman;serif"/>
          <w:b w:val="false"/>
          <w:i/>
          <w:color w:val="000000"/>
          <w:sz w:val="20"/>
        </w:rPr>
        <w:t>Sarbanes-Oxley Act</w:t>
      </w:r>
      <w:r>
        <w:rPr>
          <w:rFonts w:ascii="Times New Roman;serif" w:hAnsi="Times New Roman;serif"/>
          <w:b w:val="false"/>
          <w:color w:val="000000"/>
          <w:sz w:val="20"/>
        </w:rPr>
        <w:t>),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amount of our future losses is uncertain and our quarterly and annual operating results may fluctuate significantly or fall below the expectations of investors or securities analysts, each of which may cause our stock price to fluctuate or decline.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quarterly and annual operating results may fluctuate significantly in the future due to a variety of factors, many of which are outside of our control and may be difficult to predict, including the following: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timing and success or failure of nonclinical studies and clinical trials for our product candidates or competing product candidates, or any other change in the competitive landscape of our industry,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successfully recruit, enroll and retain subjects who meet our eligibility criteria for participation in our clinical trials, and any delays caused by difficulties in such efforts;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risk/benefit profile, cost and reimbursement policies with respect to our product candidates, if approved, and existing and potential future therapeutics that compete with our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obtain regulatory approval for our product candidates and the timing and scope of any such approvals we may receive;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timing and cost of, and level of investment in, research and development and commercialization activities relating to our product candidates, which may change from time to time;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cost of manufacturing our product candidates, which may vary depending on the quantity of production and the terms of our agreements with contract manufacturers;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attract, hire and retain qualified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expenditures that we will or may incur to develop additional product candidates;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level of demand for our product candidates should they receive regulatory approval, which may vary significantly;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changing and volatile U.S. and global economic and political environments, including the impact of inflation and rising interest rates, and domestic or international political instability;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future accounting pronouncements or changes in our accounting policies.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operating results or revenue fall below the expectations of analysts or investors or below any forecasts we may provide to the market, or if the forecasts we provide to the market are below the expectations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analysts or investors, the price of our common stock could decline substantially. Such a stock price decline could occur even when we have met any previously publicly stated guidance we may provide.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Because of potential volatility in our trading price and trading volume, we may incur significant costs from litigation, including class action securities litigation.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stock market in general, and the Nasdaq and biotechnology and pharmaceutical companies in particular, have experienced extreme price and volume fluctuations that have often been unrelated or disproportionate to the operating performance of these companies. Historically, securities class action litigation has often been brought against companies following periods of volatility in the market price of a company’s securities. For example, purported stockholders of the Company have filed lawsuits in the United States District Court for the Northern District of California and the District of Nevada against the Company and certain of our executive officers, the members of our Board and certain other parties, claiming, under the U.S. federal securities laws and certain California civil statutes, among other things, allegedly false or misleading statements, and alleged omissions of material facts, related to our public disclosures. We believe all claims are wholly without merit and intend to vigorously defend all claims. These types of litigation could result in substantial costs and a significant diversion of management’s attention and resources, which could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potential settlements, and damages awarded to plaintiffs, if any.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issuance of additional capital stock in connection with financings, acquisitions, investments, our stock incentive plans or otherwise will significantly dilute all other stockholders.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to issue additional capital stock in the future that will result in substantial dilution to all of our stockholders. We expect to grant equity awards to employees and directors under our stock incentive plans. We may also raise capital through equity financings in the future, as well as securities convertible into equity. As part of our business strategy, we may acquire or make investments in complementary companies, products, or technologies and issue equity and/or debt securities to pay for any such acquisition or investment. Any such issuances resulting in the issuance of additional equity securities likely will cause stockholders to experience significant dilution of their ownership interests and the per share value of our common stock to decline.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Because we have no current plans to pay cash dividends on our common stock, you may not receive any return on investment unless you sell your common stock for a price greater than that which you paid for 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have no current plans to pay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your sole source of gain for the foreseeable future.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Future offerings of debt or equity securities by us may adversely affect the market price of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Issuing additional shares of our common stock or other equity securities or securities convertible into equity will dilute the economic and voting rights of our existing stockholders and may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Adverse market or macroeconomic conditions or market volatility resulting from global economic and political developments, including those affecting the financial services industry, could adversely affect our business operations and our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Adverse market or macroeconomic and political conditions or market volatility resulting from global economic developments, political activity and uncertainty, high inflation, rising interest rates or other factors, could materially and adversely affect our business operations.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These events could result in a variety of material and adverse impacts on our current and projected business operations and our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any deterioration in the macroeconomic economy or financial services industry could lead to losses or defaults by our partners, vendors or suppliers,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supplier may determine that it will no longer deal with us as a customer. In addition, a vendor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The bankruptcy or insolvency of any partner, vendor or supplier, or the failure of any partner to make payments when due, or any breach or default by a partner, vendor or supplier, or the loss of any significant supplier relationships, could cause us to suffer material losses and may have a material adverse impact on our business.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Changes in tax law could adversely affect our business and financial condition.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For example, on July 4, 2025, the United States enacted tax legislation commonly referred to as the One Big Beautiful Bill Act (</w:t>
      </w:r>
      <w:r>
        <w:rPr>
          <w:rFonts w:ascii="Times New Roman;serif" w:hAnsi="Times New Roman;serif"/>
          <w:b w:val="false"/>
          <w:i/>
          <w:color w:val="000000"/>
          <w:sz w:val="20"/>
        </w:rPr>
        <w:t>OBBB Act</w:t>
      </w:r>
      <w:r>
        <w:rPr>
          <w:rFonts w:ascii="Times New Roman;serif" w:hAnsi="Times New Roman;serif"/>
          <w:b w:val="false"/>
          <w:color w:val="000000"/>
          <w:sz w:val="20"/>
        </w:rPr>
        <w:t>). In accordance with U.S. GAAP, the Company will account for the tax effects of changes in tax law in the period of enactment which is the quarter ended September 30, 2025. The Company is currently in the process of analyzing the tax impacts of the OBBB Act, but we do not expect a material impact on our financial statements. We urge investors to consult with their legal and tax advisers regarding the implications of potential changes in tax laws on an investment in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ability to use our net operating losses and research and development tax credits to offset future taxable income may be subject to certain limitations.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 xml:space="preserve">As of March 31, 2026, we had U.S. federal net operating loss carryforwards totaling $314.3 million. Federal net operating loss carryforwards of approximately $80.6 million generated through our fiscal year ended March 31, 2018 will expire in our fiscal years ending March 31, 2025 through March 31, 2038. Federal net operating loss carryforwards of approximately $233.7 million generated in fiscal years ending after March 31, 2018 will carry forward indefinitely, but are subject to an 80% taxable income limitation. As of March 31, 2026, we had state net operating loss carryforwards totaling $63.7 million, which expire at various dates between 2029 and 2045. As of March 31, 2026, we also had U.S. federal and state research and development tax credit carryforwards of $8.6 million and $2.2 million, respectively. The federal tax credits will expire at various dates beginning with our fiscal year ending March 31, 2029, unless previously utilized. The state tax credits do not expire and will carry forward indefinitely until utilized. The net operating losses which are limited in life and tax credit carryforwards could expire unused and be unavailable to offset future income tax liabilities. In addition, in general, under Sections 382 and 383 of the Internal Revenue Code of 1986, as amended (the </w:t>
      </w:r>
      <w:r>
        <w:rPr>
          <w:rFonts w:ascii="Times New Roman;serif" w:hAnsi="Times New Roman;serif"/>
          <w:b w:val="false"/>
          <w:i/>
          <w:color w:val="000000"/>
          <w:sz w:val="20"/>
        </w:rPr>
        <w:t>Code</w:t>
      </w:r>
      <w:r>
        <w:rPr>
          <w:rFonts w:ascii="Times New Roman;serif" w:hAnsi="Times New Roman;serif"/>
          <w:b w:val="false"/>
          <w:color w:val="000000"/>
          <w:sz w:val="20"/>
        </w:rPr>
        <w:t>) a corporation that undergoes an “ownership change” is subject to limitations on its ability to utilize its pre-change net operating losses (</w:t>
      </w:r>
      <w:r>
        <w:rPr>
          <w:rFonts w:ascii="Times New Roman;serif" w:hAnsi="Times New Roman;serif"/>
          <w:b w:val="false"/>
          <w:i/>
          <w:color w:val="000000"/>
          <w:sz w:val="20"/>
        </w:rPr>
        <w:t>NOLs</w:t>
      </w:r>
      <w:r>
        <w:rPr>
          <w:rFonts w:ascii="Times New Roman;serif" w:hAnsi="Times New Roman;serif"/>
          <w:b w:val="false"/>
          <w:color w:val="000000"/>
          <w:sz w:val="20"/>
        </w:rPr>
        <w:t xml:space="preserve">) or tax credits or credits, to offset future taxable income or taxes. For these purposes, an ownership change generally occurs where the aggregate stock ownership of one or more stockholders or groups of stockholders who own at least 5% of a corporation’s stock increase their ownership by more than 50 percentage points over their lowest ownership percentage within a specified testing period. Our existing NOLs or credits may be subject to limitations arising from previous ownership changes, and if we undergo an ownership change in the future, our ability to utilize NOLs or credits could be further limited by Sections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 If we determine that an ownership change has occurred and our ability to use our historical NOLs or credits is materially limited, it would harm our future operating results by effectively increasing our future tax obligations. Section 382 and 383 of the Code would apply to all net operating loss and tax credit carryforwards, whether the carryforward period is indefinite or not.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our ability to utilize our historical NOLs or credits is conditioned upon us attaining profitability and generating U.S. federal and state taxable income. We are a clinical-stage biopharmaceutical company with a limited operating history. We have incurred significant net losses since our inception and anticipate that we will continue to incur significant losses for the foreseeable future; and therefore, we do not know whether or when we will generate the U.S. federal or state taxable income necessary to utilize our historical NOLs or credits that may be subject to limitation by Sections 382 and 383 of the Code.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disclosure controls and procedures may not prevent or detect all errors or acts of fraud.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we conduct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we identify any future material weaknesses, the accuracy and timing of our financial reporting may be adversely affected, we may be unable to maintain compliance with securities law requirements regarding timely filing of periodic reports or applicable stock exchange listing requirements, investors may lose confidence in our financial reporting and our stock price may decline as a result. We also could become subject to investigations by Nasdaq, the SEC or other regulatory authorities.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Reports published by analysts, including projections in those reports that differ from our actual results, could adversely affect the price and trading volume of our common stock.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Independent securities research analysts may establish and publish their own periodic analysis of and projections relating to our operation and prospects. These analyses and projections may vary widely and may not accurately predict the results we actually achieve. Our share price may decline if our actual results do not match the analyses, opinions and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price of our common stock may be volatile.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price of our common stock may fluctuate due to a variety of factors, including:</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the industries in which we and our customers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variations in our operating performance and the performance of our competitors in general;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actual or anticipated fluctuations in our quarterly or annual operating results;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publication of research reports by securities analysts about us, our competitors or our industry;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failure or the failure of our competitors to meet analysts’ projections or guidance that we or our competitors may give to the market;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additions and departures of key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volume of shares of our common stock available for public sale; and</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general economic and political conditions such as recessions, rising or unchanged interest rates, inflation, fuel prices, foreign currency fluctuations, international tariffs, boycotts, curtailment of trade and other business restrictions, social, political and economic risks, natural disasters and acts of war or terrorism, such as the conflicts involving Ukraine and Russia, or Israel and its surrounding regions.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These market and industry factors may materially reduce the market price of shares of our common stock regardless of our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Trading Arrangements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period ended June 30, 2026, no director or officer (as defined in Exchange Act Rule 16a-1(f)) of the Company adopted or terminated a 'Rule 10b5-1 trading arrangement' or 'non-Rule 10b5-1 trading arrangement' as defined in Regulation S-K Item 408.</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Adoption of Change in Control Severance Plan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On August 11, 2026, upon the recommendation of the Compensation Committee, the Board adopted the Vistagen Therapeutics, Inc. Change in Control Severance Plan (the </w:t>
      </w:r>
      <w:r>
        <w:rPr>
          <w:rFonts w:ascii="Times New Roman;serif" w:hAnsi="Times New Roman;serif"/>
          <w:b w:val="false"/>
          <w:i/>
          <w:color w:val="000000"/>
          <w:sz w:val="20"/>
        </w:rPr>
        <w:t>Plan</w:t>
      </w:r>
      <w:r>
        <w:rPr>
          <w:rFonts w:ascii="Times New Roman;serif" w:hAnsi="Times New Roman;serif"/>
          <w:b w:val="false"/>
          <w:color w:val="000000"/>
          <w:sz w:val="20"/>
        </w:rPr>
        <w:t>) to provide severance payments and benefits to Eligible Employees (defined below) of the Company who experience a Qualifying Termination of employment in connection with a Change in Control of the Company, as such terms are defined in the Plan. The Plan is intended to constitute an “employee welfare benefit plan” under the Employee Retirement Income Security Act of 1974, as amended (</w:t>
      </w:r>
      <w:r>
        <w:rPr>
          <w:rFonts w:ascii="Times New Roman;serif" w:hAnsi="Times New Roman;serif"/>
          <w:b w:val="false"/>
          <w:i/>
          <w:color w:val="000000"/>
          <w:sz w:val="20"/>
        </w:rPr>
        <w:t>ERISA</w:t>
      </w:r>
      <w:r>
        <w:rPr>
          <w:rFonts w:ascii="Times New Roman;serif" w:hAnsi="Times New Roman;serif"/>
          <w:b w:val="false"/>
          <w:color w:val="000000"/>
          <w:sz w:val="20"/>
        </w:rPr>
        <w:t>). Terms not otherwise defined herein have the meanings assigned to them in the Plan, a copy of which will be filed as an exhibit to our Quarterly Report on Form 10-Q for the period ending September 30, 2026.</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pPr>
      <w:r>
        <w:rPr>
          <w:rFonts w:ascii="Times New Roman;serif" w:hAnsi="Times New Roman;serif"/>
          <w:b w:val="false"/>
          <w:color w:val="000000"/>
          <w:sz w:val="20"/>
        </w:rPr>
        <w:t>Employees eligible to participate in the Plan (</w:t>
      </w:r>
      <w:r>
        <w:rPr>
          <w:rFonts w:ascii="Times New Roman;serif" w:hAnsi="Times New Roman;serif"/>
          <w:b w:val="false"/>
          <w:i/>
          <w:color w:val="000000"/>
          <w:sz w:val="20"/>
        </w:rPr>
        <w:t>Eligible Employees</w:t>
      </w:r>
      <w:r>
        <w:rPr>
          <w:rFonts w:ascii="Times New Roman;serif" w:hAnsi="Times New Roman;serif"/>
          <w:b w:val="false"/>
          <w:color w:val="000000"/>
          <w:sz w:val="20"/>
        </w:rPr>
        <w:t>) are full-time employees of the Company holding one of the organizational titles designated under the Plan, which are grouped into four tiers: Tier 1 (Chief Executive Officer), Tier 2 (Executive Officers other than the Chief Executive Officer), Tier 3 (Senior Vice Presidents) and Tier 4 (Vice Presidents). Each of our named executive officers, as identified in our definitive proxy statement filed with the SEC on July 31, 2026, is an Eligible Employee under the Plan.</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Eligible Employee becomes entitled to severance payments and benefits under the Plan upon a “Qualifying Termination,” defined as a termination of the participant’s employment by the Company without “Cause” or by the Eligible Employee for “Good Reason”, in either case occurring within the period beginning three months before, and ending eighteen months after, a “Change in Control” of the Company. A termination due to death or disability is not a Qualifying Termination, and no benefits are payable under the Plan unless a Change in Control actually occurs.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a Qualifying Termination, and subject to the Eligible Employee’s timely execution and non-revocation of a release of claims in favor of the Company, an Eligible Employee is entitled to receive the following, for the period applicable to the Eligible Employee’s tier as set forth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53"/>
        <w:gridCol w:w="557"/>
        <w:gridCol w:w="562"/>
        <w:gridCol w:w="677"/>
        <w:gridCol w:w="579"/>
        <w:gridCol w:w="561"/>
        <w:gridCol w:w="697"/>
        <w:gridCol w:w="559"/>
        <w:gridCol w:w="561"/>
        <w:gridCol w:w="620"/>
        <w:gridCol w:w="620"/>
        <w:gridCol w:w="622"/>
        <w:gridCol w:w="919"/>
        <w:gridCol w:w="907"/>
        <w:gridCol w:w="1111"/>
      </w:tblGrid>
      <w:tr>
        <w:trPr/>
        <w:tc>
          <w:tcPr>
            <w:tcW w:w="6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Tier</w:t>
            </w:r>
          </w:p>
        </w:tc>
        <w:tc>
          <w:tcPr>
            <w:tcW w:w="1817" w:type="dxa"/>
            <w:gridSpan w:val="3"/>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Severance</w:t>
            </w:r>
          </w:p>
        </w:tc>
        <w:tc>
          <w:tcPr>
            <w:tcW w:w="1817" w:type="dxa"/>
            <w:gridSpan w:val="3"/>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Bonus Severance</w:t>
            </w:r>
          </w:p>
        </w:tc>
        <w:tc>
          <w:tcPr>
            <w:tcW w:w="1862" w:type="dxa"/>
            <w:gridSpan w:val="3"/>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Benefits Continuation (COBRA)</w:t>
            </w:r>
          </w:p>
        </w:tc>
        <w:tc>
          <w:tcPr>
            <w:tcW w:w="2937" w:type="dxa"/>
            <w:gridSpan w:val="3"/>
            <w:tcBorders>
              <w:top w:val="single" w:sz="8" w:space="0" w:color="000000"/>
              <w:left w:val="single" w:sz="8" w:space="0" w:color="000000"/>
              <w:right w:val="single" w:sz="8" w:space="0" w:color="000000"/>
            </w:tcBorders>
            <w:shd w:fill="D9D9D9" w:val="clear"/>
            <w:tcMar>
              <w:top w:w="52" w:type="dxa"/>
              <w:bottom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Equity Awards</w:t>
            </w:r>
          </w:p>
        </w:tc>
      </w:tr>
      <w:tr>
        <w:trPr/>
        <w:tc>
          <w:tcPr>
            <w:tcW w:w="177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pPr>
            <w:r>
              <w:rPr>
                <w:rFonts w:ascii="Times New Roman;serif" w:hAnsi="Times New Roman;serif"/>
                <w:b/>
                <w:color w:val="000000"/>
                <w:sz w:val="20"/>
              </w:rPr>
              <w:t>Tier 1</w:t>
              <w:br/>
            </w:r>
            <w:r>
              <w:rPr>
                <w:rFonts w:ascii="Times New Roman;serif" w:hAnsi="Times New Roman;serif"/>
                <w:b/>
                <w:sz w:val="20"/>
              </w:rPr>
              <w:br/>
            </w:r>
            <w:r>
              <w:rPr>
                <w:rFonts w:ascii="Times New Roman;serif" w:hAnsi="Times New Roman;serif"/>
                <w:b/>
                <w:color w:val="000000"/>
                <w:sz w:val="20"/>
              </w:rPr>
              <w:t>Chief Executive Officer</w:t>
            </w:r>
          </w:p>
        </w:tc>
        <w:tc>
          <w:tcPr>
            <w:tcW w:w="181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Determined by existing Employment Agreement</w:t>
            </w:r>
          </w:p>
        </w:tc>
        <w:tc>
          <w:tcPr>
            <w:tcW w:w="181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Determined by existing Employment Agreement</w:t>
            </w:r>
          </w:p>
        </w:tc>
        <w:tc>
          <w:tcPr>
            <w:tcW w:w="18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Determined by existing Employment Agreement</w:t>
            </w:r>
          </w:p>
        </w:tc>
        <w:tc>
          <w:tcPr>
            <w:tcW w:w="293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Full acceleration of vesting (and, if applicable, exercisability) of all outstanding and unvested equity awards</w:t>
            </w:r>
          </w:p>
        </w:tc>
      </w:tr>
      <w:tr>
        <w:trPr/>
        <w:tc>
          <w:tcPr>
            <w:tcW w:w="177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pPr>
            <w:r>
              <w:rPr>
                <w:rFonts w:ascii="Times New Roman;serif" w:hAnsi="Times New Roman;serif"/>
                <w:b/>
                <w:color w:val="000000"/>
                <w:sz w:val="20"/>
              </w:rPr>
              <w:t>Tier 2</w:t>
              <w:br/>
            </w:r>
            <w:r>
              <w:rPr>
                <w:rFonts w:ascii="Times New Roman;serif" w:hAnsi="Times New Roman;serif"/>
                <w:b/>
                <w:sz w:val="20"/>
              </w:rPr>
              <w:br/>
            </w:r>
            <w:r>
              <w:rPr>
                <w:rFonts w:ascii="Times New Roman;serif" w:hAnsi="Times New Roman;serif"/>
                <w:b/>
                <w:color w:val="000000"/>
                <w:sz w:val="20"/>
              </w:rPr>
              <w:t xml:space="preserve">Chief Officers (other than Chief Executive Officer) </w:t>
            </w:r>
          </w:p>
        </w:tc>
        <w:tc>
          <w:tcPr>
            <w:tcW w:w="181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12 months </w:t>
            </w:r>
          </w:p>
        </w:tc>
        <w:tc>
          <w:tcPr>
            <w:tcW w:w="181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12 months</w:t>
            </w:r>
          </w:p>
        </w:tc>
        <w:tc>
          <w:tcPr>
            <w:tcW w:w="18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12 months</w:t>
            </w:r>
          </w:p>
        </w:tc>
        <w:tc>
          <w:tcPr>
            <w:tcW w:w="293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Same</w:t>
            </w:r>
          </w:p>
        </w:tc>
      </w:tr>
      <w:tr>
        <w:trPr/>
        <w:tc>
          <w:tcPr>
            <w:tcW w:w="177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pPr>
            <w:r>
              <w:rPr>
                <w:rFonts w:ascii="Times New Roman;serif" w:hAnsi="Times New Roman;serif"/>
                <w:b/>
                <w:color w:val="000000"/>
                <w:sz w:val="20"/>
              </w:rPr>
              <w:t>Tier 3</w:t>
              <w:br/>
            </w:r>
            <w:r>
              <w:rPr>
                <w:rFonts w:ascii="Times New Roman;serif" w:hAnsi="Times New Roman;serif"/>
                <w:b/>
                <w:sz w:val="20"/>
              </w:rPr>
              <w:br/>
            </w:r>
            <w:r>
              <w:rPr>
                <w:rFonts w:ascii="Times New Roman;serif" w:hAnsi="Times New Roman;serif"/>
                <w:b/>
                <w:color w:val="000000"/>
                <w:sz w:val="20"/>
              </w:rPr>
              <w:t>Senior Vice Presidents</w:t>
            </w:r>
          </w:p>
        </w:tc>
        <w:tc>
          <w:tcPr>
            <w:tcW w:w="181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6 months </w:t>
            </w:r>
          </w:p>
        </w:tc>
        <w:tc>
          <w:tcPr>
            <w:tcW w:w="181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 months</w:t>
            </w:r>
          </w:p>
        </w:tc>
        <w:tc>
          <w:tcPr>
            <w:tcW w:w="186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6 months</w:t>
            </w:r>
          </w:p>
        </w:tc>
        <w:tc>
          <w:tcPr>
            <w:tcW w:w="293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Same</w:t>
            </w:r>
          </w:p>
        </w:tc>
      </w:tr>
      <w:tr>
        <w:trPr/>
        <w:tc>
          <w:tcPr>
            <w:tcW w:w="177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left"/>
              <w:rPr/>
            </w:pPr>
            <w:r>
              <w:rPr>
                <w:rFonts w:ascii="Times New Roman;serif" w:hAnsi="Times New Roman;serif"/>
                <w:b/>
                <w:color w:val="000000"/>
                <w:sz w:val="20"/>
              </w:rPr>
              <w:t>Tier 4</w:t>
              <w:br/>
            </w:r>
            <w:r>
              <w:rPr>
                <w:rFonts w:ascii="Times New Roman;serif" w:hAnsi="Times New Roman;serif"/>
                <w:b/>
                <w:sz w:val="20"/>
              </w:rPr>
              <w:br/>
            </w:r>
            <w:r>
              <w:rPr>
                <w:rFonts w:ascii="Times New Roman;serif" w:hAnsi="Times New Roman;serif"/>
                <w:b/>
                <w:color w:val="000000"/>
                <w:sz w:val="20"/>
              </w:rPr>
              <w:t>Vice Presidents</w:t>
            </w:r>
          </w:p>
        </w:tc>
        <w:tc>
          <w:tcPr>
            <w:tcW w:w="181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0"/>
              </w:rPr>
              <w:t xml:space="preserve">4 months </w:t>
            </w:r>
          </w:p>
        </w:tc>
        <w:tc>
          <w:tcPr>
            <w:tcW w:w="181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 months</w:t>
            </w:r>
          </w:p>
        </w:tc>
        <w:tc>
          <w:tcPr>
            <w:tcW w:w="186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 months</w:t>
            </w:r>
          </w:p>
        </w:tc>
        <w:tc>
          <w:tcPr>
            <w:tcW w:w="2937"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Same</w:t>
            </w:r>
          </w:p>
        </w:tc>
      </w:tr>
    </w:tbl>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severance and bonus severance are each payable in cash in a lump sum on the Company’s first regularly scheduled payroll date following the later of (i) the effective date of the Eligible Employee’s release of claims or (ii) if the Qualifying Termination occurs prior to the Change in Control, the date of the Change in Control, provided the Change in Control occurs within three months following the Qualifying Termination. If the Eligible Employee (and/or his or her eligible dependents) timely elects to continue coverage under the Company’s group health plans pursuant to COBRA, the benefits continuation payment is paid on the same schedule as a lump-sum cash reimbursement of the applicable COBRA premiums. Outstanding equity awards held by an Eligible Employee that are not accelerated in connection with a Qualifying Termination continue to be governed by the terms of the Company's 2019 Omnibus Equity Incentive Plan, as amended, and the applicable award agreement, including any more favorable change in control treatment that may be provided thereunder.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a condition to receiving benefits under the Plan, an Eligible Employee must execute and not revoke a release of claims in favor of the Company. Eligible Employees also remain subject to any existing confidentiality, non-competition, non-solicitation and non-disparagement covenants under their other agreements with the Company.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Administrator (the Board, or, at the Board's discretion, the Compensation Committee) may amend or terminate the Plan at any time; however, the Company may not terminate the Plan, or amend it in any manner adverse to a participant, without the Eligible Employee’s written consent (i) at any time following a Change in Control, (ii) following the execution of a definitive agreement that, if consummated, would result in a Change in Control, or (iii) during the three-month period following an Eligible Employee’s termination that would constitute a Qualifying Termination if a Change in Control occurs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during that period. Any successor to all or substantially all of the Company’s business or assets is required to assume the Company’s obligations under the Plan.</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Plan does not purport to be complete and is qualified in its entirety by reference to the full text of the Plan, a copy of which will be filed as an exhibit to the Company’s Quarterly Report on Form 10-Q for the period ending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318"/>
        <w:gridCol w:w="279"/>
        <w:gridCol w:w="280"/>
        <w:gridCol w:w="2976"/>
        <w:gridCol w:w="2976"/>
        <w:gridCol w:w="3001"/>
        <w:gridCol w:w="109"/>
        <w:gridCol w:w="109"/>
        <w:gridCol w:w="157"/>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895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
              <w:r>
                <w:rPr>
                  <w:rStyle w:val="InternetLink"/>
                  <w:rFonts w:ascii="Times New Roman;serif" w:hAnsi="Times New Roman;serif"/>
                  <w:b w:val="false"/>
                  <w:color w:val="0000FF"/>
                  <w:sz w:val="20"/>
                  <w:u w:val="single"/>
                </w:rPr>
                <w:t>10.1</w:t>
              </w:r>
            </w:hyperlink>
          </w:p>
        </w:tc>
        <w:tc>
          <w:tcPr>
            <w:tcW w:w="895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Indemnification Agreement by and between Vistagen Therapeutics, Inc. and Douglas J. Williamson, M.D., dated July 29, 2026, incorporated by reference from Exhibit 10.1 to the Company's Current Report on Form 8-K filed on July 31,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6630xexx311.htm">
              <w:r>
                <w:rPr>
                  <w:rStyle w:val="InternetLink"/>
                  <w:rFonts w:ascii="Times New Roman;serif" w:hAnsi="Times New Roman;serif"/>
                  <w:b w:val="false"/>
                  <w:color w:val="0000EE"/>
                  <w:sz w:val="20"/>
                  <w:u w:val="single"/>
                </w:rPr>
                <w:t>31.1*</w:t>
              </w:r>
            </w:hyperlink>
          </w:p>
        </w:tc>
        <w:tc>
          <w:tcPr>
            <w:tcW w:w="895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 required by Rule 13a-14(a) under the Securities Exchange Act of 1934, as amended, as adopted pursuant to Section 302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6630xexx312.htm">
              <w:r>
                <w:rPr>
                  <w:rStyle w:val="InternetLink"/>
                  <w:rFonts w:ascii="Times New Roman;serif" w:hAnsi="Times New Roman;serif"/>
                  <w:b w:val="false"/>
                  <w:color w:val="0000EE"/>
                  <w:sz w:val="20"/>
                  <w:u w:val="single"/>
                </w:rPr>
                <w:t>31.2*</w:t>
              </w:r>
            </w:hyperlink>
          </w:p>
        </w:tc>
        <w:tc>
          <w:tcPr>
            <w:tcW w:w="895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 required by Rule 13a-14(a) under the Securities Exchange Act of 1934, as amended, as adopted pursuant to Section 302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6630xexx32.htm">
              <w:r>
                <w:rPr>
                  <w:rStyle w:val="InternetLink"/>
                  <w:rFonts w:ascii="Times New Roman;serif" w:hAnsi="Times New Roman;serif"/>
                  <w:b w:val="false"/>
                  <w:color w:val="0000EE"/>
                  <w:sz w:val="20"/>
                  <w:u w:val="single"/>
                </w:rPr>
                <w:t>32*</w:t>
              </w:r>
            </w:hyperlink>
          </w:p>
        </w:tc>
        <w:tc>
          <w:tcPr>
            <w:tcW w:w="895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and Financial Officers required by Rule 13a-14(b) and Section 1350 of Chapter 63 of Title 18 of the United States Code, as adopted pursuant to Section 906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 *</w:t>
            </w:r>
          </w:p>
        </w:tc>
        <w:tc>
          <w:tcPr>
            <w:tcW w:w="895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895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895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895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895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895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95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*Filed herewith.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76" w:before="0" w:after="0"/>
        <w:jc w:val="left"/>
        <w:rPr/>
      </w:pPr>
      <w:hyperlink w:anchor="ife3c198cd81f4fce90efd6fc6c1397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4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924" w:type="dxa"/>
        <w:jc w:val="left"/>
        <w:tblInd w:w="0" w:type="dxa"/>
        <w:tblLayout w:type="fixed"/>
        <w:tblCellMar>
          <w:top w:w="28" w:type="dxa"/>
          <w:left w:w="28" w:type="dxa"/>
          <w:bottom w:w="28" w:type="dxa"/>
          <w:right w:w="28" w:type="dxa"/>
        </w:tblCellMar>
      </w:tblPr>
      <w:tblGrid>
        <w:gridCol w:w="743"/>
        <w:gridCol w:w="653"/>
        <w:gridCol w:w="659"/>
        <w:gridCol w:w="1131"/>
        <w:gridCol w:w="1131"/>
        <w:gridCol w:w="1607"/>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VISTAGEN THERAPEUTICS, INC. </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tc>
        <w:tc>
          <w:tcPr>
            <w:tcW w:w="38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Shawn K. Singh, JD</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Shawn K. Singh, JD</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President and Chief Executive Officer </w:t>
            </w:r>
          </w:p>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14, 2026</w:t>
            </w:r>
          </w:p>
        </w:tc>
        <w:tc>
          <w:tcPr>
            <w:tcW w:w="38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Nick B. Tressler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Nick B. Tressler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Shawn K. Singh,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Vistagen Therapeutics, Inc.;</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96" w:type="dxa"/>
        <w:jc w:val="left"/>
        <w:tblInd w:w="0" w:type="dxa"/>
        <w:tblLayout w:type="fixed"/>
        <w:tblCellMar>
          <w:top w:w="28" w:type="dxa"/>
          <w:left w:w="28" w:type="dxa"/>
          <w:bottom w:w="28" w:type="dxa"/>
          <w:right w:w="28" w:type="dxa"/>
        </w:tblCellMar>
      </w:tblPr>
      <w:tblGrid>
        <w:gridCol w:w="532"/>
        <w:gridCol w:w="467"/>
        <w:gridCol w:w="470"/>
        <w:gridCol w:w="784"/>
        <w:gridCol w:w="784"/>
        <w:gridCol w:w="787"/>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Shawn K. Singh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Shawn K. Singh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Principal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Nick B. Tressler, certify that: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Vistagen Therapeutics, Inc.;</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36" w:type="dxa"/>
        <w:jc w:val="left"/>
        <w:tblInd w:w="0" w:type="dxa"/>
        <w:tblLayout w:type="fixed"/>
        <w:tblCellMar>
          <w:top w:w="28" w:type="dxa"/>
          <w:left w:w="28" w:type="dxa"/>
          <w:bottom w:w="28" w:type="dxa"/>
          <w:right w:w="28" w:type="dxa"/>
        </w:tblCellMar>
      </w:tblPr>
      <w:tblGrid>
        <w:gridCol w:w="532"/>
        <w:gridCol w:w="467"/>
        <w:gridCol w:w="470"/>
        <w:gridCol w:w="764"/>
        <w:gridCol w:w="764"/>
        <w:gridCol w:w="767"/>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Nick B. Tressler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Nick B. Tressler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Principal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pPr>
      <w:r>
        <w:rPr>
          <w:rFonts w:ascii="Times New Roman;serif" w:hAnsi="Times New Roman;serif"/>
          <w:b w:val="false"/>
          <w:color w:val="000000"/>
          <w:sz w:val="20"/>
        </w:rPr>
        <w:t>In connection with the Quarterly Report on Form 10-Q of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for the quarter ended June 30, 2026, as filed with the Securities and Exchange Commission on the date hereof (the “</w:t>
      </w:r>
      <w:r>
        <w:rPr>
          <w:rFonts w:ascii="Times New Roman;serif" w:hAnsi="Times New Roman;serif"/>
          <w:b w:val="false"/>
          <w:i/>
          <w:color w:val="000000"/>
          <w:sz w:val="20"/>
        </w:rPr>
        <w:t>Report</w:t>
      </w:r>
      <w:r>
        <w:rPr>
          <w:color w:val="000000"/>
        </w:rPr>
        <w:t>”</w:t>
      </w:r>
      <w:r>
        <w:rPr>
          <w:rFonts w:ascii="Times New Roman;serif" w:hAnsi="Times New Roman;serif"/>
          <w:b w:val="false"/>
          <w:color w:val="000000"/>
          <w:sz w:val="20"/>
        </w:rPr>
        <w:t>), Shawn K. Singh, JD, the Company’s Principal Executive Officer, and Nick B. Tressler, the Company’s Principal Financial Officer, certifies, pursuant to 18 U.S.C. §1350, as adopted pursuant to §906 of the Sarbanes-Oxley Act of 2002, that to the best of their knowledge: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 of Section 13(a) or Section 15 (d)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48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p>
      <w:pPr>
        <w:pStyle w:val="TextBody"/>
        <w:bidi w:val="0"/>
        <w:spacing w:lineRule="auto" w:line="288" w:before="200" w:after="283"/>
        <w:jc w:val="left"/>
        <w:rPr/>
      </w:pPr>
      <w:r>
        <w:rPr>
          <w:rFonts w:ascii="Times New Roman;serif" w:hAnsi="Times New Roman;serif"/>
          <w:b w:val="false"/>
          <w:color w:val="000000"/>
          <w:sz w:val="20"/>
          <w:u w:val="single"/>
        </w:rPr>
        <w:t xml:space="preserve">/s/ </w:t>
      </w:r>
      <w:r>
        <w:rPr>
          <w:rFonts w:ascii="Times New Roman;serif" w:hAnsi="Times New Roman;serif"/>
          <w:b w:val="false"/>
          <w:i/>
          <w:color w:val="000000"/>
          <w:sz w:val="20"/>
          <w:u w:val="single"/>
        </w:rPr>
        <w:t>Shawn K. Singh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Shawn K. Singh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val="false"/>
          <w:color w:val="000000"/>
          <w:sz w:val="20"/>
          <w:u w:val="single"/>
        </w:rPr>
        <w:t xml:space="preserve">/s/ </w:t>
      </w:r>
      <w:r>
        <w:rPr>
          <w:rFonts w:ascii="Times New Roman;serif" w:hAnsi="Times New Roman;serif"/>
          <w:b w:val="false"/>
          <w:i/>
          <w:color w:val="000000"/>
          <w:sz w:val="20"/>
          <w:u w:val="single"/>
        </w:rPr>
        <w:t>Nick B. Tressler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Nick B. Tressler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1685/000162828026051251/vtgn2026_07x30x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63696</Words>
  <Characters>363387</Characters>
  <CharactersWithSpaces>425389</CharactersWithSpaces>
  <Paragraphs>2168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