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33"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March 31, 2025</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219"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Commission file number: 001-37761</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559"/>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60" w:type="dxa"/>
            <w:vAlign w:val="bottom"/>
            <w:gridSpan w:val="7"/>
          </w:tcPr>
          <w:p>
            <w:pPr>
              <w:jc w:val="center"/>
              <w:ind w:right="3029"/>
              <w:spacing w:after="0"/>
              <w:rPr>
                <w:sz w:val="20"/>
                <w:szCs w:val="20"/>
                <w:color w:val="auto"/>
              </w:rPr>
            </w:pPr>
            <w:r>
              <w:rPr>
                <w:rFonts w:ascii="Times New Roman" w:cs="Times New Roman" w:eastAsia="Times New Roman" w:hAnsi="Times New Roman"/>
                <w:sz w:val="34"/>
                <w:szCs w:val="34"/>
                <w:b w:val="1"/>
                <w:bCs w:val="1"/>
                <w:color w:val="auto"/>
                <w:w w:val="99"/>
              </w:rPr>
              <w:t>Vistagen Therapeutics, Inc.</w:t>
            </w:r>
          </w:p>
        </w:tc>
      </w:tr>
      <w:tr>
        <w:trPr>
          <w:trHeight w:val="184"/>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780" w:type="dxa"/>
            <w:vAlign w:val="bottom"/>
            <w:gridSpan w:val="6"/>
          </w:tcPr>
          <w:p>
            <w:pPr>
              <w:jc w:val="center"/>
              <w:ind w:right="330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82"/>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80" w:type="dxa"/>
            <w:vAlign w:val="bottom"/>
            <w:gridSpan w:val="3"/>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20-5093315</w:t>
            </w:r>
          </w:p>
        </w:tc>
      </w:tr>
      <w:tr>
        <w:trPr>
          <w:trHeight w:val="187"/>
        </w:trPr>
        <w:tc>
          <w:tcPr>
            <w:tcW w:w="1360" w:type="dxa"/>
            <w:vAlign w:val="bottom"/>
          </w:tcPr>
          <w:p>
            <w:pPr>
              <w:spacing w:after="0"/>
              <w:rPr>
                <w:sz w:val="16"/>
                <w:szCs w:val="16"/>
                <w:color w:val="auto"/>
              </w:rPr>
            </w:pPr>
          </w:p>
        </w:tc>
        <w:tc>
          <w:tcPr>
            <w:tcW w:w="230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gridSpan w:val="2"/>
          </w:tcPr>
          <w:p>
            <w:pPr>
              <w:jc w:val="center"/>
              <w:ind w:right="102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360" w:type="dxa"/>
            <w:vAlign w:val="bottom"/>
          </w:tcPr>
          <w:p>
            <w:pPr>
              <w:spacing w:after="0"/>
              <w:rPr>
                <w:sz w:val="16"/>
                <w:szCs w:val="16"/>
                <w:color w:val="auto"/>
              </w:rPr>
            </w:pPr>
          </w:p>
        </w:tc>
        <w:tc>
          <w:tcPr>
            <w:tcW w:w="230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gridSpan w:val="2"/>
          </w:tcPr>
          <w:p>
            <w:pPr>
              <w:jc w:val="center"/>
              <w:ind w:right="102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08"/>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3"/>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343 Allerton Avenue</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70"/>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80" w:type="dxa"/>
            <w:vAlign w:val="bottom"/>
            <w:gridSpan w:val="6"/>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7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60" w:type="dxa"/>
            <w:vAlign w:val="bottom"/>
            <w:gridSpan w:val="3"/>
          </w:tcPr>
          <w:p>
            <w:pPr>
              <w:jc w:val="center"/>
              <w:ind w:left="1280"/>
              <w:spacing w:after="0"/>
              <w:rPr>
                <w:sz w:val="20"/>
                <w:szCs w:val="20"/>
                <w:color w:val="auto"/>
              </w:rPr>
            </w:pPr>
            <w:r>
              <w:rPr>
                <w:rFonts w:ascii="Times New Roman" w:cs="Times New Roman" w:eastAsia="Times New Roman" w:hAnsi="Times New Roman"/>
                <w:sz w:val="14"/>
                <w:szCs w:val="14"/>
                <w:b w:val="1"/>
                <w:bCs w:val="1"/>
                <w:color w:val="auto"/>
              </w:rPr>
              <w:t>(650) 577-3600</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84"/>
        </w:trPr>
        <w:tc>
          <w:tcPr>
            <w:tcW w:w="1360" w:type="dxa"/>
            <w:vAlign w:val="bottom"/>
          </w:tcPr>
          <w:p>
            <w:pPr>
              <w:spacing w:after="0"/>
              <w:rPr>
                <w:sz w:val="16"/>
                <w:szCs w:val="16"/>
                <w:color w:val="auto"/>
              </w:rPr>
            </w:pPr>
          </w:p>
        </w:tc>
        <w:tc>
          <w:tcPr>
            <w:tcW w:w="9360" w:type="dxa"/>
            <w:vAlign w:val="bottom"/>
            <w:gridSpan w:val="9"/>
          </w:tcPr>
          <w:p>
            <w:pPr>
              <w:jc w:val="center"/>
              <w:ind w:right="70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w:t>
            </w:r>
          </w:p>
        </w:tc>
      </w:tr>
      <w:tr>
        <w:trPr>
          <w:trHeight w:val="308"/>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6"/>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30"/>
        </w:trPr>
        <w:tc>
          <w:tcPr>
            <w:tcW w:w="13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380" w:type="dxa"/>
            <w:vAlign w:val="bottom"/>
            <w:gridSpan w:val="2"/>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7"/>
              </w:rPr>
              <w:t>VTGN</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r>
        <w:trPr>
          <w:trHeight w:val="340"/>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6"/>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351"/>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6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40"/>
        </w:trPr>
        <w:tc>
          <w:tcPr>
            <w:tcW w:w="67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9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r>
      <w:tr>
        <w:trPr>
          <w:trHeight w:val="340"/>
        </w:trPr>
        <w:tc>
          <w:tcPr>
            <w:tcW w:w="67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980" w:type="dxa"/>
            <w:vAlign w:val="bottom"/>
            <w:gridSpan w:val="3"/>
          </w:tcPr>
          <w:p>
            <w:pPr>
              <w:ind w:left="60"/>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 xml:space="preserve">  x</w:t>
            </w:r>
          </w:p>
        </w:tc>
      </w:tr>
    </w:tbl>
    <w:p>
      <w:pPr>
        <w:spacing w:after="0" w:line="156"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4"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x</w:t>
      </w:r>
    </w:p>
    <w:p>
      <w:pPr>
        <w:spacing w:after="0" w:line="41"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23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4"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4" w:lineRule="exact"/>
        <w:rPr>
          <w:sz w:val="24"/>
          <w:szCs w:val="24"/>
          <w:color w:val="auto"/>
        </w:rPr>
      </w:pPr>
    </w:p>
    <w:p>
      <w:pPr>
        <w:spacing w:after="0"/>
        <w:tabs>
          <w:tab w:leader="none" w:pos="5960" w:val="left"/>
          <w:tab w:leader="none" w:pos="6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Yes</w:t>
      </w:r>
      <w:r>
        <w:rPr>
          <w:sz w:val="20"/>
          <w:szCs w:val="20"/>
          <w:color w:val="auto"/>
        </w:rPr>
        <w:tab/>
      </w:r>
      <w:r>
        <w:rPr>
          <w:rFonts w:ascii="Wingdings" w:cs="Wingdings" w:eastAsia="Wingdings" w:hAnsi="Wingdings"/>
          <w:sz w:val="11"/>
          <w:szCs w:val="11"/>
          <w:b w:val="1"/>
          <w:bCs w:val="1"/>
          <w:color w:val="auto"/>
        </w:rPr>
        <w:t xml:space="preserve">o </w:t>
      </w:r>
      <w:r>
        <w:rPr>
          <w:rFonts w:ascii="Times New Roman" w:cs="Times New Roman" w:eastAsia="Times New Roman" w:hAnsi="Times New Roman"/>
          <w:sz w:val="11"/>
          <w:szCs w:val="11"/>
          <w:color w:val="auto"/>
        </w:rPr>
        <w:t>No</w:t>
      </w:r>
      <w:r>
        <w:rPr>
          <w:rFonts w:ascii="Wingdings" w:cs="Wingdings" w:eastAsia="Wingdings" w:hAnsi="Wingdings"/>
          <w:sz w:val="11"/>
          <w:szCs w:val="11"/>
          <w:b w:val="1"/>
          <w:bCs w:val="1"/>
          <w:color w:val="auto"/>
        </w:rPr>
        <w:t xml:space="preserve">  x</w:t>
      </w:r>
    </w:p>
    <w:p>
      <w:pPr>
        <w:spacing w:after="0" w:line="17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of the registrant on September 30, 2024, the last business day of the registrant’s second fiscal quarter, was approximately $81.2 million.</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10, 2025, there were 29,157,733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5" w:right="319" w:bottom="64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64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8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818"/>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8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20" w:type="dxa"/>
            <w:vAlign w:val="bottom"/>
          </w:tcPr>
          <w:p>
            <w:pPr>
              <w:spacing w:after="0"/>
              <w:rPr>
                <w:sz w:val="24"/>
                <w:szCs w:val="24"/>
                <w:color w:val="auto"/>
              </w:rPr>
            </w:pPr>
          </w:p>
        </w:tc>
      </w:tr>
      <w:tr>
        <w:trPr>
          <w:trHeight w:val="387"/>
        </w:trPr>
        <w:tc>
          <w:tcPr>
            <w:tcW w:w="10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78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7"/>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240" w:type="dxa"/>
            <w:vAlign w:val="bottom"/>
            <w:shd w:val="clear" w:color="auto" w:fill="CCEEFF"/>
          </w:tcPr>
          <w:p>
            <w:pPr>
              <w:spacing w:after="0"/>
              <w:rPr>
                <w:sz w:val="16"/>
                <w:szCs w:val="16"/>
                <w:color w:val="auto"/>
              </w:rPr>
            </w:pPr>
          </w:p>
        </w:tc>
        <w:tc>
          <w:tcPr>
            <w:tcW w:w="7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1.</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7"/>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1A.</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Risk Factors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1B.</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7"/>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1C.</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Cyber Security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2</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3</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Legal Proceedings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4</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7"/>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7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5</w:t>
            </w: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6</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7</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7"/>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7A.</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8</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9</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9A.</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7"/>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9B.</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Information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36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9C.</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7"/>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7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10</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11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Executive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12</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13</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14</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7"/>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7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15</w:t>
            </w:r>
          </w:p>
        </w:tc>
        <w:tc>
          <w:tcPr>
            <w:tcW w:w="7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7"/>
        </w:trPr>
        <w:tc>
          <w:tcPr>
            <w:tcW w:w="23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16</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Form 10-K Summary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9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78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7"/>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78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Certain statements in this Annual Report on Form 10-K (Annual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Annual Report may include, for example, statements about:</w:t>
      </w:r>
    </w:p>
    <w:p>
      <w:pPr>
        <w:spacing w:after="0" w:line="16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over which we anticipate our available financial resources will enable us to fund our operating expense;</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funding for our operations, including funding necessary to complete further development, approval and, if approved, commercialization of our product candidates;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format, objectives, strategy, likelihood of success, and cost of our preclinical studies and clinical trials and other product development activities, including the design of our preclinical studies and clinical trials;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initiation of our preclinical studies and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enroll and randomize suitable patients in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completion of our preclinical studies and clinical trials and related preparatory work;</w:t>
      </w:r>
    </w:p>
    <w:p>
      <w:pPr>
        <w:spacing w:after="0" w:line="189" w:lineRule="exact"/>
        <w:rPr>
          <w:rFonts w:ascii="Times New Roman" w:cs="Times New Roman" w:eastAsia="Times New Roman" w:hAnsi="Times New Roman"/>
          <w:sz w:val="14"/>
          <w:szCs w:val="14"/>
          <w:color w:val="auto"/>
        </w:rPr>
      </w:pPr>
    </w:p>
    <w:p>
      <w:pPr>
        <w:ind w:left="540" w:hanging="280"/>
        <w:spacing w:after="0"/>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and interpret preclinical and clinical data;</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regulatory interactions, including whether preclinical studies and clinical trials meet the criteria to enable early-stage clinical development or support registration of our product candidates;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benefits of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if obtained, maintain regulatory approval for our product candidates, and any related restrictions, limitations or warnings on the label of an approved product candidate;</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our business development efforts to optimize the potential value of our neuroscience pipeline;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other companies currently marketing or engaged in the development of treatments for the indications that we pursue or are pursuing for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product candidates and the duration of such protection;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and rely on third-parties to assist in conducting our preclinical studies and clinical trials and manufacturing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 either on our own or in partnership with others;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including regulatory personnel, and developments in the U.S. and foreign countries;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regulations, accounting standards, regulatory requirements, judicial decisions and guidance issued by authoritative bodies;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medical, commercial and management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and needs for additional financing;</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recognize the anticipated benefits of our License and Collaboration Agreement with AffaMed Therapeutics, Inc. (including our ability to receive future payments thereunder) and any other future financing or business development transactions;</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4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adverse market or macroeconomic conditions, including, among others, inflation, interest rates and economic uncertainty, market volatility resulting from global political or economic developments, war, international hostilities and terrorism, any future public health epidemics or outbreaks of infectious disease, the residual post-COVID environment and other factors on any of the foregoing or other aspects of our business operations, including but not limited to our preclinical studies, clinical trials and other product development activities, healthcare systems and the global economy as a whole; and</w:t>
      </w:r>
    </w:p>
    <w:p>
      <w:pPr>
        <w:spacing w:after="0" w:line="16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Part I, Item 1A of this Annual Report titled “Risk Factors.”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Annual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You should read this Annual Report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Unless the context otherwise requires, reference in this Annual Report to the terms “Vistagen,” “the Company,” “we,” “us,” “our,” and similar designations refer to Vistagen Therapeutics, Inc., a Nevada corporation, and where appropriate, our consolidated subsidiaries.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This Annual Report may contain references to trademarks, trade names and service marks belonging to other entities. Solely for convenience, trademarks, trade names and service marks referred to in this Annual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from the information reflected in this Annual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 research, surveys and studies conducted by third parties that have not been independently verified which may, in the future, prove not to have been accurate.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All brand names or trademarks appearing in this Annual Report are the property of their respective holders. Unless the context requires otherwise, references in this report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Vistagen,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refer to Vistagen Therapeutics, Inc., a Nevada corporation. All references to future quarters and years in this Annual Report refer to calendar quarters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calendar years, unless reference is made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a late clinical-stage biopharmaceutical company leveraging a deep understanding of nose-to-brain neurocircuitry to develop and commercialize a new class of non-systemic intranasal product candidates called pherines. Our broad and diverse neuroscience pipeline currently consists of five clinical-stage pherine product candidates, each with a novel mechanism of action (MOA)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most advanced intranasal pherine product candidate is fasedienol, which is being investigated in our U.S. registration-directed PALISADE Program for the acute treatment of social anxiety disorder (SAD). In August 2023, we received and reported positive topline results from our PALISADE-2 Phase 3 trial of fasedienol for the acute treatment of SAD. The ongoing clinical trials in our PALISADE Program include our PALISADE-3 and PALISADE-4 Phase 3 trials, which are designed similarly to PALISADE-2, and a small exploratory Phase 2 repeat dose study (the Repeat Dose Study). Topline data for PALISADE-3 are expected in the fourth quarter of 2025 and topline results for PALISADE-4 and the Repeat Dose Study are expected in the first half of 2026. We believe either PALISADE-3 or PALISADE-4, if successful, together with the positive results reported from PALISADE-2, may establish substantial evidence of the effectiveness of fasedienol in support of a potential New Drug Application (NDA) submission to the U.S. FDA for the acute treatment of SAD. The FDA has granted Fast Track designation for the investigation of fasedienol for the acute treatment of SAD. Fasedienol has the potential to be the first FDA-approved acute treatment for SAD and provide significant advantages relative to the current standard of care.</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also reported positive results from an exploratory Phase 2A clinical trial for each of our next most advanced pherine product candidates, itruvone for treatment of major depressive disorder, and PH80 for both vasomotor symptoms (hot flashes) due to menopause and premenstrual dysphoric disorder, as well as a pilot Phase 2A study of PH15 for improvement of psychomotor impairment due to mental fatigue and an exploratory Phase 2A study of PH284 for treatment of cancer cachexia. See “Our Neuroscience Product Candidates” below.</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passionate about developing transformative treatment options with potential to meet clear and growing unmet needs and bring meaningful relief to patients underserved by the current standard of care for multiple highly prevalent indications, all while delivering long term value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Neuroscience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4446270" cy="2243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6270"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Fasedienol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Social Anxiety Disorder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Social anxiety disorder (SAD) is a highly prevalent, serious, and life-threatening psychiatric mental health disorder affecting over 30 million adults in the U.S. With onset typically early in life, usually during adolescence, SAD </w:t>
      </w:r>
      <w:r>
        <w:rPr>
          <w:rFonts w:ascii="Times New Roman" w:cs="Times New Roman" w:eastAsia="Times New Roman" w:hAnsi="Times New Roman"/>
          <w:sz w:val="14"/>
          <w:szCs w:val="14"/>
          <w:color w:val="212121"/>
        </w:rPr>
        <w:t>persists for many years thereafter, with a</w:t>
      </w:r>
      <w:r>
        <w:rPr>
          <w:rFonts w:ascii="Times New Roman" w:cs="Times New Roman" w:eastAsia="Times New Roman" w:hAnsi="Times New Roman"/>
          <w:sz w:val="14"/>
          <w:szCs w:val="14"/>
          <w:color w:val="auto"/>
        </w:rPr>
        <w:t xml:space="preserve"> reported mean duration of about 20 years. While often a long-term disorder, SAD can manifest acutely when </w:t>
      </w:r>
      <w:r>
        <w:rPr>
          <w:rFonts w:ascii="Times New Roman" w:cs="Times New Roman" w:eastAsia="Times New Roman" w:hAnsi="Times New Roman"/>
          <w:sz w:val="14"/>
          <w:szCs w:val="14"/>
          <w:color w:val="212121"/>
        </w:rPr>
        <w:t>triggered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121"/>
        </w:rPr>
        <w:t xml:space="preserve">anxiety-provoking </w:t>
      </w:r>
      <w:r>
        <w:rPr>
          <w:rFonts w:ascii="Times New Roman" w:cs="Times New Roman" w:eastAsia="Times New Roman" w:hAnsi="Times New Roman"/>
          <w:sz w:val="14"/>
          <w:szCs w:val="14"/>
          <w:color w:val="000000"/>
        </w:rPr>
        <w:t>social and performance situations</w:t>
      </w:r>
      <w:r>
        <w:rPr>
          <w:rFonts w:ascii="Times New Roman" w:cs="Times New Roman" w:eastAsia="Times New Roman" w:hAnsi="Times New Roman"/>
          <w:sz w:val="14"/>
          <w:szCs w:val="14"/>
          <w:color w:val="212121"/>
        </w:rPr>
        <w:t>. I</w:t>
      </w:r>
      <w:r>
        <w:rPr>
          <w:rFonts w:ascii="Times New Roman" w:cs="Times New Roman" w:eastAsia="Times New Roman" w:hAnsi="Times New Roman"/>
          <w:sz w:val="14"/>
          <w:szCs w:val="14"/>
          <w:color w:val="000000"/>
        </w:rPr>
        <w:t>n those situations, individuals with SAD experience extreme anxiety, distress, fear, and impairment due to their fear of embarrassment,</w:t>
      </w:r>
      <w:r>
        <w:rPr>
          <w:rFonts w:ascii="Times New Roman" w:cs="Times New Roman" w:eastAsia="Times New Roman" w:hAnsi="Times New Roman"/>
          <w:sz w:val="14"/>
          <w:szCs w:val="14"/>
          <w:color w:val="212121"/>
        </w:rPr>
        <w:t xml:space="preserve"> </w:t>
      </w:r>
      <w:r>
        <w:rPr>
          <w:rFonts w:ascii="Times New Roman" w:cs="Times New Roman" w:eastAsia="Times New Roman" w:hAnsi="Times New Roman"/>
          <w:sz w:val="14"/>
          <w:szCs w:val="14"/>
          <w:color w:val="000000"/>
        </w:rPr>
        <w:t>judgment, humiliation, negative evaluation, and scrutiny. The disorder can significantly disrupt family and social life, diminish self-esteem, and hinder work performance. People with SAD may struggle to form social or vocational relationships, which can lead to feelings of powerlessness and shame. The profound anxiety associated with SAD often results in avoidance of everyday interactions and opportunities in academic, social and vocational settings. This avoidance can lead to loneliness, a lack of personal and professional achievements and relationships, as well as economic difficulties, ultimately impacting various aspects of daily life and adding to societal burden. The pervasive effects of SAD often lead to depression and a sense of hopelessness, transforming what is sometimes perceived as extreme shyness into a debilitating mental illness. SAD has a lifetime comorbidity rate of approximately 81% with other serious psychiatric disorders, and individuals with SAD face an increased risk of serious and life-threatening co-morbid depression, substance abuse, suicidal ideation and suicide.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Fasedienol for the Acute Treatment of Social Anxiety Disorder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Fasedienol, our lead clinical-stage product candidate, is a synthetic neuroactive intranasal pherine in an ongoing U.S. registration-directed Phase 3 clinical development program for the acute treatment of anxiety in adults with SAD. Fasedienol's MOA is fundamentally differentiated from all FDA-approved anti-anxiety medications. When administered intranasally in microgram-level doses, neurocircuitry-focused fasedienol activates receptors of peripheral nasal chemosensory neurons connected to subsets of neurons in the olfactory bulbs that, in turn, connect to neural circuits in the limbic amygdala involved in the pathophysiology of SAD, and potentially other acute anxiety disorders. Neurocircuitry-focused fasedienol is pharmacologically active without requiring apparent systemic absorption or direct binding on neurons in the brain to achieve its rapid-onset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Unlike benzodiazepines, fasedienol does not potentiate GABA-A receptors. Because of its innovative non-systemic neurocircuitry-focused MOA, we believe fasedienol has the potential to achieve rapid-onset anxiolytic effects for individuals with SAD on an acute, as-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Fasedienol's U.S. Registration-directed PALISADE Program</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no FDA-approved pharmacological therapy for the acute treatment of SAD. We believe fasedienol has the potential to allow individuals affected by SAD to engage in stressful or previously avoided social or performance situations with fewer or less severe symptoms. Because of its rapid-onset non-systemic proposed MOA and pharmacological effect, a key and substantial difference between fasedienol and all other available therapies approved by the FDA is that fasedienol is being developed with potential to be the first FDA-approved acute treatment of SAD. Acute treatment with fasedienol has the potential to reduce the wave of anxiety usually experienced by SAD patients before engaging in and during a feared and anxiety-provoking social or performance situation.</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aligned with the FDA that a clinic-based public speaking challenge and the Subjective Units of Distress Scale (SUDS) are the appropriate study design and primary efficacy endpoint, respectively, to measure anxiety immediately related to the specific stressor, and is the most appropriate and efficient path for our U.S. registration-directed PALISADE Program, which is focused on fasedienol’s potential to become the first FDA-approved acute treatment of anxiety for adults with SAD. The Phase 3 clinical trials in our PALISADE Program are randomized, double-blind, placebo-controlled, U.S. multi-center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patient-rated SUDS as the primary efficacy endpoint. Two of the Phase 3 trials in our PALISADE Program were previously concluded; PALISADE-1, reported in 2022, did not meet its primary endpoint, and PALISADE-2, reported in 2023, successfully met its primary efficacy endpoint, and as further described below, two Phase 3 trials, PALISADE-3 and PALISADE-4, are ongoing. Our PALISADE Program also includes open-label extension safety studies, the ongoing small Phase 2 Repeat Dose Study, certain standard preclinical studies, and a small human factor study.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August 2023, we received and reported positive topline results from our PALISADE-2 Phase 3 trial of fasedienol for the acute treatment of anxiety in adults with SAD. PALISADE-2 met its primary efficacy endpoint, which was the difference in mean SUDS scores during the public speaking challenge at baseline (Visit 2) and treatment (Visit 3) for subjects treated with fasedienol versus placebo at Visit 3. Fasedienol-treated patients demonstrated a greater mean change from baseline (least-squares (LS) mean = -13.8) compared to placebo (LS mean = -8.0), for a statistically significant, and we believe clinically relevant, difference between groups of -5.8 (p=0.015). PALISADE-2 also met its secondary endpoint, demonstrating a statistically significant difference in the proportion of clinician-assessed responders between fasedienol and placebo as measured by the Clinical Global Impressions – Improvement (CGI-I)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with a statistically significant difference in the proportion of patient-assessed responders between fasedienol and placebo as measured by the Patient’s Global Impression of Change (PGI-C) scale. Responders were identified as those who self-rated "very much less anxious" or "much less anxious" on the PGI-C and 40.6% of fasedienol-treated patients were rated as responders, as compared to 18.6% of those treated with placebo (p=0.003). Our PALISADE-2 Phase 3 trial also met an additional exploratory endpoint with a statistically significant difference in the proportion of patients in each treatment group with a 20-point or greater improvement in patient-assessed SUDS score from baseline (Visit 2) to treatment (Visit 3). Of the fasedienol-treated patients, 35.7% demonstrated this statistically significant improvement in SUDS score, as compared to 18.6% in the placebo-treated group (p=0.020). Fasedienol was observed to be well-tolerated with no serious adverse events (SAEs), and the treatment-emergent adverse event (TEAE) profiles were comparable between fasedienol and placebo. Overall, no TEAEs, except for pyrexia in the placebo group (2.49%), was more prevalent than 2.0%.</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complement our successful PALISADE-2 Phase 3 trial, we launched our PALISADE-3 and PALISADE-4 Phase 3 trials 2024. Like PALISADE-2, PALISADE-3 and PALISADE-4 are U.S. multi-center, randomized, double-blind, placebo-controlled Phase 3 studies designed to evaluate the efficacy, safety, and tolerability of the acute administration of fasedienol to relieve anxiety symptoms in adults with SAD after a single dose of fasedienol during a simulated, anxiety-provoking public speaking challenge conducted in a clinical setting, as measured using the patient-reported SUDS as the primary efficacy endpoint. In addition, both PALISADE-3 and PALISADE-4 have an open-label extension for a period of up to 12 months. We initiated the Repeat Dose Study in early 2025. This study is a small U.S. multi-center, randomized, double-blind, placebo-controlled, three-arm exploratory Phase 2 clinical trial designed to evaluate repeated dosing (up to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two doses within ten minutes) of fasedienol in adult patients with SAD during a single, simulated, anxiety-provoking public speaking challenge in a clinical setting. The Repeat Dose Study also includes an open-label extension study for a period of up to 12 months.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either PALISADE-3 or PALISADE-4, if successful, together with PALISADE-2, may establish substantial evidence of the effectiveness of fasedienol in support of a potential New Drug Application (NDA) submission to the FDA for the acute treatment of anxiety in adults with SAD.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FDA has granted Fast Track designation for the investigation of fasedienol for the acute treatment of SAD.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Itruvone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Major Depressive Disorder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Depression is a serious medical condition and a global public health concern that can arise at any time during a person's life. According to the World Health Organization (WHO), depression is the leading cause of disability worldwide, affecting over 250 million people. Statistics reported by the U.S. National Institute of Mental Health (NIMH) indicate that approximately 21 million adults in the U.S., or approximately 8.4% of all adults in the U.S., experienced at least one major depressive episode in 2020. While many individuals will experience a depressed mood at some point during their lifetime, major depressive disorder (MDD) is different. MDD is the chronic, pervasive feeling of utter unhappiness and suffering, which impairs daily functioning. During a typical depressive episode, an individual experiences depressed mood, loss of interest and enjoyment, and reduced energy leading to diminished activity and impaired daily functioning for at least two weeks and often much longer.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many people, depression cannot be controlled for any length of time without treatment. However, approximately two out of every three people with depression do not experience adequate therapeutic benefits from their initial treatment with a standard antidepressant. Furthermore, the likelihood of achieving remission of depressive symptoms decreases with each successive treatment attempt. Even after multiple treatment attempts with current antidepressants, about one-third of individuals with depression still do not find a sufficiently effective therapy.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Inadequate response to current treatments is among the key reasons MDD is one of the leading public health concerns in the U.S., creating a significant unmet medical need for new agents with fundamentally differentiated MOAs and differentiated safety.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Itruvone for the Treatment of Major Depressive Disorder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Itruvone is our investigational neurocircuitry-focused non-systemic pherine product candidate with transformative potential as a stand-alone treatment of MDD. Itruvone’s potential for rapid-onset activity in nasal chemosensory receptors at a low microgram-level dose without requiring systemic absorption or direct binding on neurons in the brain to achieve antidepressant effects, and its favorable safety data observed in all studies completed to date, is fundamentally differentiated from all current pharmacological therapies for depression. Unlike other antidepressants which rely on single or double-receptor occupancy in the brain, itruvone activates neural circuits that regulate the amygdala, hypothalamus, entorhinal area and hippocampus, prefrontal cortex, locus coeruleus, and raphe nucleus, all involved in the pathophysiology of depression. The scope of itruvone's neural circuit activation, and potential impact on the brain, appears, in studies completed to date, to be wider, faster and safer than can be achieved with current therapies targeting binding to any specific brain receptor. We believe non-systemic itruvone has the potential to treat MDD without causing the side effects and safety concerns that may be associated with current systemic antidepressant therapies, including, among others, drug-drug interactions, sexual side effects, sedation, weight gain and suicidal ideation.</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a randomized, double-blind, placebo-controlled parallel design exploratory Phase 2A clinical trial of itruvone as a stand-alone treatment for MDD, the results of which were published in the peer-reviewed British Journal of Pharmaceutical and Medical Research, at a 6.4 microgram dose administered intranasally twice daily for eight weeks, itruvone significantly reduced depressive symptoms in as early as one week based on the 17-item Hamilton Depression Scale (HAM-D-17) scores compared to placebo (p=0.022). Itruvone was well-tolerated and did not cause psychological side effects (such as dissociation or hallucinations), sexual side effects, weight gain, or other safety concerns that may be associated with other approved pharmacological therapies for MDD. The trial was sponsored by Pherin Pharmaceuticals, Inc. (Pherin), which is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now our wholly-owned subsidiary, and was conducted in Mexico prior to our acquisition of Pherin in February 2023. Positive data from our June 2023 U.S. Investigational New Drug (IND) enabling Phase 1 trial of itruvone demonstrated that there were no reported treatment-related SAEs or discontinuations due to adverse events in the trial. Overall, itruvone was well-tolerated and continued to demonstrate the favorable safety data in all clinical trials completed to date. As a result, building on the positive results from Phase 2A clinical development of itruvone in MDD, we are currently planning for potential U.S. Phase 2B clinical development of itruvone under our U.S. IND as a novel, non-systemic stand-alone treatment for MDD.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 FDA has granted Fast Track designation for the investigation of itruvone for the treatment of MDD.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PH80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Vasomotor Symptoms (Hot Flashes) due to Menopause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Vasomotor symptoms (VMS), comprising of hot flashes and night sweats, are the most common symptoms of the menopausal transition, affecting 60% to 80% of menopausal women and approximately 40% of women in perimenopause. On average, hot flashes last seven to nine years and, for up to one-third of women, can last more than 10 years.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substantial individual variability in the frequency and severity of VMS, there is universal agreement that VMS negatively impacts physical, emotional, social, and occupational well-being, and can significantly diminish the overall quality of life and work productivity for those who experience them. VMS can cause new-onset sleep interruptions and deprivation, with night sweats commonly interrupting sleep and causing difficulty in returning to sleep. Such sleep problems are associated with reduced productivity and an increased risk of job loss for these affected individuals. VMS are also often accompanied by various comorbidities, including new onset anxiety, depression, and cognitive dysfunction, which can further exacerbate functional impairment. While there are FDA-approved therapies for the treatment of moderate to severe VMS, many women cannot take or choose not to take currently available hormonal and/or other systemic products due to contraindications and safety concerns, such as cardiovascular disorders, dementia, breast cancer, and liver toxicity. Treatment of VMS is complicated by fear of these safety risks associated with systemic hormonal therapy and the recently approved non-hormonal, neurokinin 3 receptor (NK3R) antagonist.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PH80 for the Treatment of Vasomotor Symptoms (Hot Flashes) due to Menopause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PH80 is our investigational non-hormonal, non-systemic, neurocircuitry-focused pherine product candidate with a novel, rapid-onset proposed MOA that is fundamentally differentiated from all currently approved treatments for VMS (hot flashes) due to menopause. With more than one million U.S. women entering menopause every year, the number of symptomatic women with VMS who could potentially benefit from a novel, non-hormonal, non-systemic, as-needed treatment such as PH80 is substantial.</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Rapid activation of peripheral nasal chemosensory neurons via self-administration of low microgram doses of PH80 rapidly stimulates a subgroup of neuromicrocircuits (glomeruli) in the olfactory bulbs (OBs) that are connected to the limbic amygdala and hypothalamus, which are involved in the regulation of the autonomic nervous system and thermoregulatory areas of the hypothalamus. Notably, in vitro studies show that PH80 does not engage steroid receptors; an in vivo study in mice showed no estrogenic and/or androgenic activity and no changes in weight of the uterus or seminal vesicles after intranasal administration. Additionally, an in vitro study has demonstrated that PH80 does not exert effects on receptor targets with known abuse potential.</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developing PH80 as a novel, non-hormonal, non-systemic, as-needed treatment of moderate to severe VMS (hot flashes) due to menopause, and potentially additional women’s health-focused indications. A randomized, double-blind, placebo-controlled exploratory Phase 2A clinical study of PH80 that was designed to explore the efficacy, safety, and tolerability of intranasal administration of PH80 for the management of menopausal hot flashes in women was conducted in a real-world setting in Mexico and was sponsored by Pherin prior to our acquisition of Pherin in February 2023. In the study, PH80 (0.8 µg/50 µL) was self-administered by subjects intranasally, with two sprays in each nostril (total dose = 3.2µg) up to four times daily, as 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(p&lt;.001). PH80 treatment also significantly reduced the severity, disruption in function, and sweating related to hot flashes during the treatment period, as compared with placebo.</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PH80 was well-tolerated with no SAEs, and the adverse event profiles were comparable between PH80 and placebo. All 36 subjects completed four weeks of treatment and no subject discontinued participation in the study as a result of adverse events.</w:t>
      </w:r>
    </w:p>
    <w:p>
      <w:pPr>
        <w:jc w:val="both"/>
        <w:spacing w:after="0" w:line="247" w:lineRule="auto"/>
        <w:rPr>
          <w:sz w:val="20"/>
          <w:szCs w:val="20"/>
          <w:color w:val="auto"/>
        </w:rPr>
      </w:pPr>
      <w:r>
        <w:rPr>
          <w:rFonts w:ascii="Times New Roman" w:cs="Times New Roman" w:eastAsia="Times New Roman" w:hAnsi="Times New Roman"/>
          <w:sz w:val="14"/>
          <w:szCs w:val="14"/>
          <w:color w:val="auto"/>
        </w:rPr>
        <w:t>We are currently conducting customary nonclinical manufacturing-related studies necessary to support our planned submission of our U.S. IND to facilitate further Phase 2 clinical development of PH80 in the U.S. as a novel non-hormonal, non-systemic treatment of moderate to severe VMS (hot flashes) due to menopause and potentially additional women’s health indications.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Premenstrual Dysphoric Disorder</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According to the National Institutes of Health (NIH), 5% to 8% of menarcheal individuals have moderate-to-severe symptoms that can cause significant distress and functional impairment, suggestive of premenstrual dysphoric disorder (PMDD), a severe, sometimes disabling extension of premenstrual syndrome (PMS).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PH80 for Premenstrual Dysphoric Disorder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An exploratory Phase 2A clinical study of PH80 for management of the symptoms of PMDD, including negative mood and physical and behavioral symptoms, in subjects with a regular menstrual cycle and at least a one-year history of PMDD, was conducted by Pherin in a real-world setting in Mexico prior to our acquisition of Pherin in February 2023.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(DSR) as early as Day 4 and continuing to Day 6 (p=0.008). PH80 also demonstrated statistically and clinically significant improvement versus placebo at Day 6 on the clinician-rated Premenstrual Tension Scale (PMTS) total score (p=0.006).</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PH80 was well-tolerated with no SAEs. The most common TEAE was headache, reported by 17% in the placebo group and 7% in the PH80 group. No other TEAE occurred more than once per subject.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PH15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Cognitive and Psychomotor Impairment due to Mental Fatigue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Numerous disorders, such as shift work disorder, sleep apnea, and narcolepsy, can lead to debilitating sleep deprivation and mental fatigue. The prevalence of these disorders is high. For example, moderate to severe sleep apnea affects approximately 20% of adult men and 10% of postmenopausal women. The potential consequences of mental fatigue from sleep deprivation are troubling, with higher rates of accidents and increased risk of dementia.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PH15 for Improvement of Cognitive and Psychomotor Impairment due to Mental Fatigue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PH15 is our investigational pherine product candidate with a novel, rapid-onset neurocircuitry-focused proposed MOA that is differentiated from the MOA of all currently approved treatments to improve psychomotor or cognitive impairment caused by mental fatigue. PH15’s proposed MOA targets nasal receptors that activate olfactory-to-amygdala and olfactory-to-hippocampus neural circuits in the limbic system that are known to be associated with psychomotor activity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cognition, without requiring systemic absorption or direct action on neurons in the brain. PH15 has demonstrated excellent safety data in all clinical trials completed to date.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 randomized, double-blind, placebo-controlled, crossover Phase 2A pilot study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This study of PH15 was sponsored by Pherin and conducted at the National Institute of Psychiatry, Sleep Disorders Clinic in Mexico City, Mexico prior to our acquisition of Pherin in February 2023.</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currently evaluating the potential Phase 2 development path forward for PH15 and the manufacturing, nonclinical and clinical program required to support submission of a U.S. IND to facilitate further potential Phase 2 development of PH15 in the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PH284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Cancer Cachexia</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The current definition of cancer cachexia is a loss of 5% or more of body weight over the preceding six months, accompanied by any of a handful of other symptoms, including fatigue and reduced strength. According to the National Cancer Institute,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effective medical interventions or approved drugs proven to alleviate cachexia.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PH284 for Cancer Cachexia</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PH284 is our investigational pherine product candidate with a novel, rapid-onset, neurocircuitry-focused proposed MOA that is fundamentally differentiated from the MOA of all current treatments for the loss of appetite associated with chronic disorders, such as cancer or heart disease. PH284 is thought to act by regulating olfactory to mediobasal-hypothalamus neural circuits involved in appetite control.</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 double-blind, placebo-controlled exploratory Phase 2A study designed to evaluate the efficacy, safety, and tolerability of intranasal administration of PH284 in female patients diagnosed with cachexia (induced by chronic loss of appetite) due to terminal cancer (n=40), PH284 (0.4 µg/50 µL) was administered intranasally, one spray in each nostril (total daily dose = 3.2µg), four times daily before meals (breakfast, mid-morning snack, lunch, and dinner). From Day 1 through Day 4, all subjects were administered placebo 30 minutes prior to each meal. Beginning on Day 5 through Day 11 subjects were randomized in a 1:1 fashion to receive either PH284 or placebo. Patients measured Subjective Feeling of Hunger (SFH) ten minutes before each meal. PH284, as compared to placebo, induced a cumulative effect on mean SFH scores, with scores increasing from breakfast to lunch and lunch to dinner throughout the treatment period. Specifically, prior to dinner on Day 7 of treatment, PH284 subjects reported a 71% improvement in SFH versus baseline, while placebo subjects reported a less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than 1% improvement. No unusual changes in body weight were observed in either the PH284 or placebo groups, though on average, there was a small gain in body weight for PH284 versus a small loss in placebo. PH284 demonstrated no serious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 PH284 has demonstrated an excellent safety profile in all clinical trials completed to date. This study of PH284 was sponsored by Pherin and conducted at the National Institute of Oncology and National Institute of Nutrition in Mexico City, Mexico prior to our acquisition of Pherin in February 2023.</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Vistagen is currently evaluating the potential path forward for PH284, including an assessment of the manufacturing, nonclinical and clinical program required to support a U.S. IND application for potential further Phase 2 clinical development of PH284 for the treatment of cancer cachexia or other appetite-related disorders.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AV-101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AV-101 for NMDAR-related Neurological Disorders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AV-101 (4-Cl-KYN)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observations and findings from preclinical studies, we believe AV-101 has the potential to become a new oral treatment alternative for multiple neuroscience disorders, including levodopa-induced dyskinesia (LID) and neuropathic pain (NP) among others. We are currently assessing whether there is a path forward for potential collaborative Phase 2A clinical development of AV-101 for one or more additional neurological disorders involving the NMDAR receptor. The U.S. FDA has granted Fast Track designation for the investigation of AV-101 for the treatment of neuropathic pain and for the adjunctive treatment of MDD.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treatment and prognostic methods, as well as processes for their manufacture, and any other aspects of our discoveries and inventions that are commercially important to the development of our business.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timely file patent applications for any new commercially valuable inventions.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plan to continue to expand our intellectual property portfolio by filing patent applications related to pharmaceutical compositions, methods of use, including treatment and patient selection, formulations, nasal administration devices, and manufacturing processes created or identified from the ongoing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121"/>
        </w:rPr>
        <w:t xml:space="preserve">We own granted patents and pending patent applications in the U.S. and in certain foreign countries. As of </w:t>
      </w:r>
      <w:r>
        <w:rPr>
          <w:rFonts w:ascii="Times New Roman" w:cs="Times New Roman" w:eastAsia="Times New Roman" w:hAnsi="Times New Roman"/>
          <w:sz w:val="14"/>
          <w:szCs w:val="14"/>
          <w:color w:val="000000"/>
        </w:rPr>
        <w:t>March 31, 2025</w:t>
      </w:r>
      <w:r>
        <w:rPr>
          <w:rFonts w:ascii="Times New Roman" w:cs="Times New Roman" w:eastAsia="Times New Roman" w:hAnsi="Times New Roman"/>
          <w:sz w:val="14"/>
          <w:szCs w:val="14"/>
          <w:color w:val="212121"/>
        </w:rPr>
        <w:t>, these patent properties consist of the following: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Fasedienol for the Acute Treatment of SAD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2121"/>
        </w:rPr>
        <w:t>The granted U.S. patents relate to the use of fasedienol for the acute treatment of SAD and nominally will expire either in 2025 or 2028 and foreign patents will nominally expire in 2026, subject to patent term extensions that may be available in the U.S. and in certain foreign countries. We expect regulatory and data exclusivity (discussed below) will be available upon product approval of fasedienol in the U.S. and certain foreign countries.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Itruvone for the Treatment of MDD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2121"/>
        </w:rPr>
        <w:t>The granted U.S. and foreign patents relate to the use of itruvone to treat MDD and nominally will expire in 2033, subject to patent term extensions that may be available in the U.S. and certain foreign countries. We expect regulatory and data exclusivity will be available upon product approval of itruvone in the U.S. and certain foreign countries.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PH80 for the Treatment of Vasomotor Symptoms (Hot Flashes) Due to Menopause and Other Indications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2121"/>
        </w:rPr>
        <w:t>The granted U.S. a</w:t>
      </w:r>
      <w:r>
        <w:rPr>
          <w:rFonts w:ascii="Times New Roman" w:cs="Times New Roman" w:eastAsia="Times New Roman" w:hAnsi="Times New Roman"/>
          <w:sz w:val="14"/>
          <w:szCs w:val="14"/>
          <w:color w:val="000000"/>
        </w:rPr>
        <w:t>nd foreign patents and corresponding pending foreign patent applications relate to the use of PH80 to treat vasomotor symptoms (hot flashes) due to menopause. Patents that have</w:t>
      </w:r>
      <w:r>
        <w:rPr>
          <w:rFonts w:ascii="Times New Roman" w:cs="Times New Roman" w:eastAsia="Times New Roman" w:hAnsi="Times New Roman"/>
          <w:sz w:val="14"/>
          <w:szCs w:val="14"/>
          <w:color w:val="212121"/>
        </w:rPr>
        <w:t xml:space="preserve"> </w:t>
      </w:r>
      <w:r>
        <w:rPr>
          <w:rFonts w:ascii="Times New Roman" w:cs="Times New Roman" w:eastAsia="Times New Roman" w:hAnsi="Times New Roman"/>
          <w:sz w:val="14"/>
          <w:szCs w:val="14"/>
          <w:color w:val="000000"/>
        </w:rPr>
        <w:t>been or may yet be granted will expire in 2029. Because of the development timeline for this indication, it is unlikely that patent term extensions will be available in the U.S. or foreign countries. However, w</w:t>
      </w:r>
      <w:r>
        <w:rPr>
          <w:rFonts w:ascii="Times New Roman" w:cs="Times New Roman" w:eastAsia="Times New Roman" w:hAnsi="Times New Roman"/>
          <w:sz w:val="14"/>
          <w:szCs w:val="14"/>
          <w:color w:val="212121"/>
        </w:rPr>
        <w:t>e expect regulatory and data exclusivity will be available upon product approval of PH80 in the U.S. and certain foreign countries.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filed a non-provisional U.S. national phase patent application and a Patent Cooperation Treaty (PCT) patent application relating to the use of PH80 to treat dysmenorrhea in April 2025. Patents that may be granted on such patent applications nominally will expire in 2045, subject to patent term extensions that may be available in the U.S. and certain foreign countries. We expect regulatory and data exclusivity will be available upon approval of PH80 for this indication in the U.S. and certain foreign countries.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PH15 for the Improvement of Psychomotor and Cognitive Impairment due to Mental Fatigue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filed a non-provisional U.S. national phase patent application and a PCT patent application relating to the use of PH15 to improve psychomotor and cognitive impairment due to mental fatigue in 2024. Patents that may be granted on such patent applications nominally will expire in 2044, subject to patent term extensions that may be available in the U.S. and certain foreign countries. Regulatory and data exclusivity may be available upon product approval of PH15 for this indication in the U.S. and certain foreign countries.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Nasal Spray Device for Administration of Pherines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filed a non-provisional U.S. national phase patent application and a PCT patent application relating to nasal spray devices intended to improve the administration of pherines (including, for example, fasedienol, itruvone, PH80, and PH15 discussed above) in April 2025. Patents that may be granted on such patent applications nominally will expire in 2045, subject to patent term extensions that may be available in the U.S. and certain foreign countries.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AV-101 for the Potential Treatment of LID, NP, and Other Disorders</w:t>
      </w:r>
    </w:p>
    <w:p>
      <w:pPr>
        <w:spacing w:after="0" w:line="191"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granted U.S. patents relate collectively to the use of AV-101 to treat depression, LID and neuropathic pain;</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U.S. patent applications, and foreign granted patents and pending foreign patent applications relate collectively to the use of AV-101 to treat various disorders, including depression, LID, NP, tinnitus and obsessive-compulsive disorder;</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U.S. and foreign patent applications relate to the prognostic identification of high and low responders to the treatment of various neurological disorders with AV-101;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U.S. patents, and granted foreign patents and pending foreign patent applications relate to the manufacture of AV-101.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2121"/>
        </w:rPr>
        <w:t>The various U.S. and foreign patents related to AV-101 nominally expire between 2034 and 2040, depending on the subject matter claimed in each patent, subject to patent term extensions that may be available in the U.S. and certain foreign countries. Regulatory and data exclusivity may be available upon product approval of AV-101 in the U.S. and certain foreign countries.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 Adjustments and Extensions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2121"/>
        </w:rPr>
        <w:t>The base term of a U.S. patent is 20 years from the filing date of the earliest filed non-provisional patent application from which the patent claims priority. The term of a U.S. patent can be lengthened by patent term adjustment, in case of certain administrative delays at the U.S. Patent and Trademark Office (PTO). In some cases, the term of a U.S. patent may be shortened by a terminal disclaimer that reduces its term to align with that of a related patent.</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212121"/>
        </w:rPr>
        <w:t>Depending upon the timing, duration, and specifics of the FDA approval, if any,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to offset the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(testing phase), plus the time between the submission date of an NDA and the approval of that application (approval phase). The FDA may reduce this patent term restoration period if it finds that an applicant did not act with due diligence during the testing phase or the approval phase. Only one patent related to an approved drug is eligible for the extension, and an application for the extension must be submitted prior to the expiration of the patent.</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2121"/>
        </w:rPr>
        <w:t>The U.S. PTO, in consultation with the FDA, reviews and approves the application for any patent term extension or restoration. In the future, if circumstances permit, we intend to apply for extension or restoration of patent term for our applicable patents, if any, to extend patent life beyond their nominal expiration dates depending on the length of the clinical trials and other factors that affect the filing date of the relevant NDA. In the future, if and when our pharmaceutical products receive FDA approval, we expect to apply for available patent term extensions on patents related to those products, their methods of use, or methods of manufacture.</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2121"/>
        </w:rPr>
        <w:t>Some foreign jurisdictions, including various countries in Europe and Japan, have similar patent term extension provisions, which allow for the extension of the term of a patent that covers a drug approved by the applicable foreign regulatory agency.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Exclusivity</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212121"/>
        </w:rPr>
        <w:t>Some of our products may also be entitled to certain data exclusivity (that is not patent-related) under the Federal Food, Drug and Cosmetic Act (FDCA) and its related regulations. The FDCA provides a five-year period of non-patent data exclusivity within the U.S. to the first applicant to obtain approval for an NDA for a new chemical entity (NCE). An NCE is a new chemical entity if the FDA has not previously approved any other new drug containing the same active moiety, which is the molecule responsible for the pharmacological action of the drug substance. During the data exclusivity period, an abbreviated NDA (ANDA), or a 505(b)(2) NDA submitted by another company may not be approved by the FDA for another drug containing the same active moiety, regardless of whether the drug is intended for the same indication as the original innovator drug or for another indication, where the applicant does not own or have a legal right of reference to all the data that served as the basis of granting the original NDA.</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212121"/>
        </w:rPr>
        <w:t>However, an ANDA or a 505(b)(2) NDA application may be submitted to the FDA for evaluation after four years from the original NDA approval if the innovator NDA holder does not have a patent covering the product listed with the FDA Orange Book or if the application contains a certification of patent invalidity or non-infringement to one of the patents listed with the FDA Orange Book. The FDCA also provides three years of data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the new full or supplemental NDA. This three-year exclusivity covers only the modification for which the drug received approval on the basis of the new clinical investigations and does not prohibit the FDA from approving ANDAs for drugs containing the active moiety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Secrets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212121"/>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(including where appropriate, our CROs) and partners. These agreements provide that all confidential information developed or made known during the course of an individual’s or entity’s employment or other contractual relationship with the Company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the misappropriation of our proprietary information by third parties.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Trademarks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2121"/>
        </w:rPr>
        <w:t>We also own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Transactions and Relationships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Given the depth of clinical development across our neuroscience pipeline and potential additional preclinical candidates from our pherine platform, we have the potential to pursue multiple strategic development and commercialization partnerships across our pipeline to efficiently unlock potential incremental value of our product candidate portfolio. Any such partnership considerations will be designed to amplify our ongoing or past internal research and development activities, which may efficiently advance key development and regulatory milestones for our product candidates.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we believe that our highly selective outsourcing of certain research, development, legal, manufacturing and regulatory advisory activities gives us flexible access to a broad range of capabilities and expertise at a lower overall cost than developing and maintaining such capabilities and expertise internally on a full-time basis. In particular, we retain third parties for certain accounting, legal, manufacturing, nonclinical development, clinical development, and regulatory affairs support.</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entered into, and plan to seek multiple additional global and regional strategic relationships focused on the development and/or commercialization of our product candidates in key pharmaceutical markets in the U.S. and worldwide.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Agreements</w:t>
      </w:r>
    </w:p>
    <w:p>
      <w:pPr>
        <w:spacing w:after="0" w:line="181" w:lineRule="exact"/>
        <w:rPr>
          <w:sz w:val="20"/>
          <w:szCs w:val="20"/>
          <w:color w:val="auto"/>
        </w:rPr>
      </w:pPr>
    </w:p>
    <w:p>
      <w:pPr>
        <w:jc w:val="both"/>
        <w:spacing w:after="0" w:line="166" w:lineRule="exact"/>
        <w:rPr>
          <w:sz w:val="20"/>
          <w:szCs w:val="20"/>
          <w:color w:val="auto"/>
        </w:rPr>
      </w:pPr>
      <w:r>
        <w:rPr>
          <w:rFonts w:ascii="Times New Roman" w:cs="Times New Roman" w:eastAsia="Times New Roman" w:hAnsi="Times New Roman"/>
          <w:sz w:val="14"/>
          <w:szCs w:val="14"/>
          <w:color w:val="auto"/>
        </w:rPr>
        <w:t>We have customary clinical supply agreements with multiple contract development and manufacturing organizations (CDMOs) and customary agreements with multiple CROs to assist us with the advancement and management of our nonclinical (including manufacturing) and clinical development programs. Each of our commercial agreements is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exclusive, and we have no material contractual obligations under such agreements, except to the extent we order supplies or request services to be performed under specific work orders that we generate with such third parties from time to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License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and Collaboration Agreement with AffaMed Therapeutics, Inc. (formerly EverInsight Therapeutics, Inc.)</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June 2020, we entered into a license and collaboration agreement (the EverInsight License Agreement) with EverInsight Therapeutics Inc., a company incorporated under the laws of the British Virgin Islands (EverInsight), pursuant to which we granted EverInsight an exclusive license to develop, manufacture and commercialize fasedienol for multiple anxiety-related disorders in Greater China (Mainland China, Hong Kong, Macau and Taiwan), South Korea and Southeast Asia (Indonesia, Malaysia, Philippines, Thailand and Vietnam) (collectively, the Territory). Subsequent to entering into the EverInsight License Agreement, in October 2020, EverInsight merged with AffaMed Therapeutics, Inc. (AffaMed), which as a combined, complementary entity is focusing on developing and commercializing therapeutics to address ophthalmologic and neurological disorders in Greater China and beyond. Accordingly, we refer to EverInsight and the EverInsight License Agreement as AffaMed and the AffaMed Agreement, respectively. We retained development, manufacturing and commercialization rights for fasedienol in the rest of the world.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Under the terms of the AffaMed Agreement, we received an upfront payment of $5.0 million in August 2020. We may also receive up to an additional $172 million in milestone payments upon AffaMed’s achievement of certain developmental, regulatory and sales milestone events related to fasedienol. In addition, we are entitled to receive certain royalties on net sales, if any, of fasedienol in the Territory following receipt of any required regulatory approval. However, AffaMed’s achievement of any of such developmental, regulatory and sales milestone events, or commercial sales of fasedienol in the Territory, cannot be guaranteed. AffaMed has the right to sublicense to affiliates and third parties in the Territory. AffaMed is responsible for all costs related to developing, obtaining regulatory approval of and commercializing fasedienol in the Territory. A joint development committee has been established between the Company and AffaMed to coordinate and review the development, manufacturing and commercialization plans with respect to fasedienol in the Territory. 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Negotiation Agreement with Fuji Pharma Co., LTD.</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September 1, 2023, we entered into an Exclusive Negotiation Agreement (the Negotiation Agreement) with Fuji Pharma Co., Ltd. (Fuji Pharma), a Tokyo Stock Exchange-listed, Japan-based pharmaceutical company. Pursuant to the terms and conditions of the Negotiation Agreement, we agreed, for a limited period of time, to negotiate exclusively with Fuji Pharma a potential exclusive license agreement, to develop and commercialize our PH80 product candidate in Japan (the Potential Definitive Agreement). The Negotiation Agreement provides for an exclusive negotiation period beginning on the date of formal written notice being received by Fuji Pharma that we have selected a contract development and manufacturing organization to conduct certain toxicology studies for the product candidate (Payment Event), and terminating on the later to occur of (i) fourteen (14) months from the date of the Payment Event or (ii) ninety (90) days from the date that the FDA accepts an IND application for PH80 for the treatment of vasomotor symptoms (hot flashes) due to menopause (Exclusive Negotiation Period).</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consideration for the Exclusive Negotiation Period, we received from Fuji Pharma a payment of $1.5 million (Purchase Price). The Purchase Price is non-refundable, except upon a material breach of the Negotiation Agreement by us, however, should we and Fuji Pharma enter into the Potential Definitive Agreement, the Purchase Price will be credited against any upfront fee due in connection with the execution of such agreement. Neither we nor Fuji Pharma are obligated to enter into the Potential Definitive Agreement, and if we and Fuji Pharma have not entered into the Potential Definitive Agreement on or before the end of the Exclusive Negotiation Period, either party may terminate any further negotiations.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Supply</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Manufacturing of the drug substance and drug product for our product candidates is performed by contract development and manufacturing organizations (CDMOs) who must comply with current good manufacturing practice (cGMP) regulations. Our product candidates are comprised of synthetic small molecules that are manufactured through a series of organic chemistry steps starting with commercially available organic chemical raw materials. We do not currently own or operate, nor do we plan to own or operate, manufacturing facilities for the production of our drug substances and drug product candidates for nonclinical, clinical or commercial use. We conduct manufacturing and analytical testing activities under individual project work orders with independent CDMOs to supply all of our nonclinical and clinical trial needs. We conduct periodic quality audits of each of the CDMO’s facilities to ensure that they are fully compliant with cGMPs. We believe that all of our existing CDMOs are, or will be, capable of providing sufficient quantities of both drug substance and drug product to meet our nonclinical and clinical development needs, as well as our commercial needs. New CDMOs may be added to our supply chain strategy in the future to ensure that our nonclinical, clinical and, subject to NDA approval, commercial manufacturing and testing needs are met.</w:t>
      </w:r>
    </w:p>
    <w:p>
      <w:pPr>
        <w:spacing w:after="0" w:line="3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By design, we do not currently have any fixed contractual arrangements in place with any CDMOs, for either long-term supply or redundant supply of drug substances or drug product for our pherine product candidates. If our pherine product candidates are approved for commercial distribution, we intend to execute long-term commercial supply agreement(s) with our CDMOs to produce our future commercial supplies on our behalf. We plan to mitigate potential commercial supply risks for any products that are approved in the future through inventory management and through exploring additional back-up manufacturers, both in the U.S. and outside the U.S., to provide drug substance and/or drug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industry is highly competitive and subject to rapid and significant technological change. The large size and expanding scope of the neuroscience markets, especially the high unmet need in large and growing global markets for anxiety and depression disorders, make them attractive therapeutic areas for biopharmaceutical businesses. While we believe that our employees and consultants, scientific knowledge, technology, and development experience provide us with competitive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large and established research and development and commercial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tolerability, convenience, price, the level of branded and generic competition, and the availability of reimbursement from government and other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payers.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 Anxiety Disorder</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Currently there is no FDA-approved acute treatment of SAD, and we are aware of no company developing a potential acute treatment of SAD that is a nasal spray and involves the same neurocircuitry-focused MOA as fasedienol. We are aware of companies that are or may be developing therapies targeting acute treatment in the SAD market, including, among others, Neuphoria, Vanda Pharmaceuticals, and PureTech. In addition, we may face competition to fasedienol for treatment of anxiety in adult and adolescent patients with SAD from generic antidepressants as well as off-label use of generic benzodiazepines and generic beta blockers even though no drug in either of those generic drug classes have been systematically developed for treatment of SAD, acute or otherwise, and thus no drug in either of such generic drug classes has been FDA-approved for the acute treatment of SAD. Although there are three generic oral antidepressants approved by the FDA for the treatment of SAD, they are not approved for the acute treatment of SAD, do not achieve rapid-onset therapeutic effects and are associated with undesirable side effects. Cognitive behavioral therapy is also an important treatment approach to SAD that may be used along with or instead of pharmacological treatments, including antidepressants, benzodiazepines, beta blockers, fasedienol and other drug candidates in clinical development.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Major Depressive Disorder</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venlaxafine (Effexor), both previously marketed by Pfizer, Inc.; paroxetine (Paxil) and bupropion (Wellbutrin), both previously marketed by GlaxoSmithKline (now GSK), and brexpiprazole (Rexulti) previously marketed by Otsuka America. Treatments may also include currently marketed proprietary branded medications indicated for MDD such as: Trintellix, which is marketed by Takeda Pharmaceuticals America, Inc and H. Lundbeck A/S; Viibryd and Vraylar, which are marketed by Abbvie, Auvelity, which is marketed by Axsome Therapeutics, and Caplyta, which is marketed by Intra-Cellular Therapies, recently acquired by Johnson &amp; Johnson. Although currently there are no FDA-approved therapies for MDD with the neurocircuitry-focused MOA of itruvone, we are aware of numerous companies that are developing and commercializing or have commercialized therapies targeting the MDD market, including, among others, Axsome Therapeutics, Relmada Therapeutics, Xenon, Johnson &amp; Johnson, Usona Institute, Boehringer Ingelheim, and Sirtsei Pharmaceuticals. Additionally, with respect to MDD, we expect that itruvone will have to compete with a variety of non-pharmacological alternatives for treatment of MDD, such as psychotherapy and electroconvulsive therapy.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Vasomotor Symptoms (hot flashes) due to Menopause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We are aware of various current pharmacotherapies for vasomotor symptoms (hot flashes) due to menopause, including hormonal therapy (estrogen with or without progesterone, or a synthetic progestin), gabapentins, certain antidepressants, clonidine, as well as Veozah, marketed by Astellas Pharma, and a similar product candidate, </w:t>
      </w:r>
      <w:r>
        <w:rPr>
          <w:rFonts w:ascii="Times New Roman" w:cs="Times New Roman" w:eastAsia="Times New Roman" w:hAnsi="Times New Roman"/>
          <w:sz w:val="14"/>
          <w:szCs w:val="14"/>
          <w:color w:val="0D2A40"/>
        </w:rPr>
        <w:t>elinzanetant, a non-hormonal, NK3 receptor antagonist,</w:t>
      </w:r>
      <w:r>
        <w:rPr>
          <w:rFonts w:ascii="Times New Roman" w:cs="Times New Roman" w:eastAsia="Times New Roman" w:hAnsi="Times New Roman"/>
          <w:sz w:val="14"/>
          <w:szCs w:val="14"/>
          <w:color w:val="auto"/>
        </w:rPr>
        <w:t xml:space="preserve"> in late-stage development by Bayer.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Indications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still assessing our potential competition for PH15 to improve cognitive and/or psychomotor impairment and PH284 for cancer cachexia.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Product Approval</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Government authorities in the U.S., at the federal, state, and local level, and in other countries and supranational regions, extensively regulate, among other things, the research, development, testing, manufacture, quality, packaging, storage, recordkeeping, labeling, advertising, promotion, distribution, marketing, import, and export of pharmaceutical products such as those we are developing. In addition, healthcare regulatory bodies in the U.S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Regulation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U.S., the FDA regulates drugs under the FDCA and its implementing regulations. The process required by the FDA before product candidates may be marketed in the U.S. generally involves the following:</w:t>
      </w:r>
    </w:p>
    <w:p>
      <w:pPr>
        <w:spacing w:after="0" w:line="124"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animal studies, and formulation studies in compliance with the FDA’s Good Laboratory Practice (GLP) regulations;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which must become effective before human clinical trials may begin;</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(IRB) or ethics committee for each clinical site, or through a centralized process, before each trial may be initiated;</w:t>
      </w:r>
    </w:p>
    <w:p>
      <w:pPr>
        <w:spacing w:after="0" w:line="136" w:lineRule="exact"/>
        <w:rPr>
          <w:rFonts w:ascii="Times New Roman" w:cs="Times New Roman" w:eastAsia="Times New Roman" w:hAnsi="Times New Roman"/>
          <w:sz w:val="14"/>
          <w:szCs w:val="14"/>
          <w:color w:val="auto"/>
        </w:rPr>
      </w:pPr>
    </w:p>
    <w:p>
      <w:pPr>
        <w:ind w:left="520" w:hanging="260"/>
        <w:spacing w:after="0" w:line="188" w:lineRule="exact"/>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controlled human clinical trials in accordance with Good Clinical Practice regulations (GCPs) to evaluate the safety and efficacy of the product candidate for its intended use;</w:t>
      </w:r>
    </w:p>
    <w:p>
      <w:pPr>
        <w:spacing w:after="0" w:line="14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compilation of required information and submission to the FDA of a NDA after completion of pivotal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15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inspection of the manufacturing facility or facilities at which the product candidate is produced to assess compliance with cGMPs, and to assure that the facilities, methods, and controls are adequate to preserve the drug candidate’s identity, strength, quality, and purity;</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potential FDA inspection of selected clinical investigation sites to assess compliance with GCPs; and</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 to permit commercial marketing of the product for particular indications for use in the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Preclinical Studies and IND Submission</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Once a product candidate is nominated for further development, it enters the preclinical testing stage. Preclinical studies include laboratory evaluation of drug substance chemistry, pharmacology, toxicity, and drug product formulation, as well as animal studies. Prior to commencing the first clinical trial with a product candidate, an IND sponsor must submit the results of the preclinical tests, together with manufacturing information and analytical data, among other things,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will generally continue even after the IND is submitted.</w:t>
      </w:r>
    </w:p>
    <w:p>
      <w:pPr>
        <w:spacing w:after="0" w:line="123"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An IND becomes effective 30 days after receipt by the FDA, unless the FDA, within the 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with applicable requirements, and in either case, the proposed trial or trials may not begin 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 until the FDA notifies the IND sponsor that the hold has been lifted. As a result, submission of an IND may not result in FDA authorization to commence a clinical trial.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Trials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drug to human subjects under the supervision of qualified investigators in accordance with GCP requirements, which include, among other things, the requirements that all research subjects provide their informed consent in writing for their participation in any clinical trial, as well as review and approval of the study by an IRB or ethics committee. Investigators must also provide certain information to the clinical trial sponsors to allow the sponsors to make certain financial disclosures to the FDA. Clinical trials are conducted under protocols detailing, among other things, the objectives of the trial, dosing procedures, subject selection and exclusion criteria and the safety and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addition, an IRB or ethics committee at each study site participating in the clinical trial, or a central IRB, as applicable, must review and approve the plan for each protocol before a clinical trial commences. The applicable IRB or ethics committee must also approve certain information regarding the trial and the consent form that must be provided to each trial subject or his or her legal representative, among other responsibilities. The FDA or the sponsor may suspend a clinical trial at any time on various grounds, including a finding that the research subjects or patients are being exposed to an unacceptable health risk. Similarly, an IRB or ethics committee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checkpoints based on access to certain data from the trial. There are also requirements governing the reporting of ongoing clinical studies and clinical study results to public registries, including ClinicalTrials.gov.</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FDCA.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for purposes of NDA approval, human clinical trials are typically conducted in three sequential phases, which may overlap or be combined.</w:t>
      </w:r>
    </w:p>
    <w:p>
      <w:pPr>
        <w:spacing w:after="0" w:line="177" w:lineRule="exact"/>
        <w:rPr>
          <w:sz w:val="20"/>
          <w:szCs w:val="20"/>
          <w:color w:val="auto"/>
        </w:rPr>
      </w:pPr>
    </w:p>
    <w:p>
      <w:pPr>
        <w:ind w:left="52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1 </w:t>
      </w:r>
      <w:r>
        <w:rPr>
          <w:rFonts w:ascii="Times New Roman" w:cs="Times New Roman" w:eastAsia="Times New Roman" w:hAnsi="Times New Roman"/>
          <w:sz w:val="14"/>
          <w:szCs w:val="14"/>
          <w:color w:val="auto"/>
        </w:rPr>
        <w:t>—the product candidate is initially introduced into healthy human volunteers or subjects with the target disease or condition, and tested for safety, dosage tolerance, absorption,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metabolism, distribution, and excretion. If possible, Phase 1 trials may also be used to gain an initial indication of effectiveness.</w:t>
      </w:r>
    </w:p>
    <w:p>
      <w:pPr>
        <w:spacing w:after="0" w:line="99"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—the product candidate is evaluated in limited subject populations with a specified disease or condition to evaluate preliminary efficacy, identify optimal dosages, dosage tolerance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schedule, possible adverse effects and safety risks.</w:t>
      </w:r>
    </w:p>
    <w:p>
      <w:pPr>
        <w:spacing w:after="0" w:line="91" w:lineRule="exact"/>
        <w:rPr>
          <w:rFonts w:ascii="Times New Roman" w:cs="Times New Roman" w:eastAsia="Times New Roman" w:hAnsi="Times New Roman"/>
          <w:sz w:val="14"/>
          <w:szCs w:val="14"/>
          <w:color w:val="auto"/>
        </w:rPr>
      </w:pPr>
    </w:p>
    <w:p>
      <w:pPr>
        <w:jc w:val="both"/>
        <w:ind w:left="520" w:hanging="260"/>
        <w:spacing w:after="0" w:line="178" w:lineRule="exact"/>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3</w:t>
      </w:r>
      <w:r>
        <w:rPr>
          <w:rFonts w:ascii="Times New Roman" w:cs="Times New Roman" w:eastAsia="Times New Roman" w:hAnsi="Times New Roman"/>
          <w:sz w:val="14"/>
          <w:szCs w:val="14"/>
          <w:color w:val="auto"/>
        </w:rPr>
        <w:t>—the product candidate is evaluated in adequate and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controlled clinical trials in expanded patient populations, generally at geographically dispersed clinical trial sites,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generate enough data to provide substantial evidence of clinical efficacy and to further test for safety. Phase 3 trials are intended to establish the overall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benefit profile of the product, and to provide adequate information for the labeling of the product. Typically, two successful Phase 3 trials are required by the FDA for product approval.</w:t>
      </w:r>
    </w:p>
    <w:p>
      <w:pPr>
        <w:spacing w:after="0" w:line="17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FDA may also require, or companies may conduct, additional clinical trials for the same indication after a product is approved. These clinical trials, sometimes referred to as, Phase 4 studies are often conducted to gain additional experience from the treatment of patients in the intended therapeutic indication and may be required by the FDA as a condition of approval of the NDA.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NDA Submission, Review by the FDA, and Marketing Approval</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Assuming successful completion of the required clinical and preclinical testing, the results of product development, including chemistry, manufacturing, and control (CMC) information, results from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(PDUFA). In addition, if the product candidate is approved, program fees must be paid on an annual basis. Waivers of application user fees may be obtained under certain limited circumstances. For example, product candidates that are designated as orphan drugs, which are further described below, are not subject to application user fees unless the application includes an indication other than the orphan indication.</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under the Pediatric Research Equity Act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deemed safe and effective. Under PREA, NDAs and certain supplements must contain a pediatric assessment unless the sponsor has received a deferral or waiver.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FDA may require submission of a risk evaluation and mitigation strategy (REMS) in connection with an NDA to ensure that the benefits of the drug outweigh its risks. If the FDA concludes a REMS is needed, the sponsor of the NDA must submit a proposed REMS plan, which could include medication guides, physician communication plans, and elements to assure safe use, such as restricted distribution methods, patient registries, or other risk minimization tools. An assessment of the REMS must also be conducted at set intervals. A REMS may also be required by the FDA following product approval if the FDA determines that implementation of a REMS is necessary to ensure that the benefits of the drug continue to outweigh its risks.</w:t>
      </w:r>
    </w:p>
    <w:p>
      <w:pPr>
        <w:spacing w:after="0" w:line="165" w:lineRule="exact"/>
        <w:rPr>
          <w:sz w:val="20"/>
          <w:szCs w:val="20"/>
          <w:color w:val="auto"/>
        </w:rPr>
      </w:pPr>
    </w:p>
    <w:p>
      <w:pPr>
        <w:jc w:val="both"/>
        <w:spacing w:after="0" w:line="166" w:lineRule="exact"/>
        <w:rPr>
          <w:sz w:val="20"/>
          <w:szCs w:val="20"/>
          <w:color w:val="auto"/>
        </w:rPr>
      </w:pPr>
      <w:r>
        <w:rPr>
          <w:rFonts w:ascii="Times New Roman" w:cs="Times New Roman" w:eastAsia="Times New Roman" w:hAnsi="Times New Roman"/>
          <w:sz w:val="14"/>
          <w:szCs w:val="14"/>
          <w:color w:val="auto"/>
        </w:rPr>
        <w:t>Once an NDA has been submitted, the FDA conducts a preliminary review of the application within the first 60 days after submission, before accepting it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depth substantive review of the NDA. The FDA reviews an NDA to determine, among other things, whether a product is safe and effective for its intended use and whether its manufacturing is cGMP-compliant to assure and preserve the product’s identity, strength, quality and purity.</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FDA has agreed to a set of performance goals and procedures under PDUFA to review 90% of all applications within ten months from the 60-day filing date for its initial review of a standard NDA for a New Molecular Entity (NME). For non-NME standard applications, the FDA has set the goal of completing its review of 90% of all applications within ten months from the submission receipt date. Such deadlines are referred to as the PDUFA date. The review process and the PDUFA goal date may also be extended for a three-month period if the FDA requests, or the NDA sponsor otherwise provides, substantial additional information or clarifications deemed a “major amendment” to the application.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FDA may refer an application for a novel drug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Before approving an NDA, the FDA typically will inspect the facility or facilities where the product and/or its drug substance is manufactured. The FDA will not approve an application unless it determines that the manufacturing processes and facilities, including contract manufacturers and subcontractors, are in compliance with cGMP requirements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adequate to ensure consistent production of the product within the required specifications. Additionally, before approving an NDA, the FDA may inspect one or more clinical trial sites to assure compliance with GCPs.</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After evaluating the NDA and all related information, including the advisory committee recommendation, if any, and after the FDA conducts any inspections of the manufacturing facilities and clinical trial sites, the FDA may issue an approval letter, or, in some cases, a Complete Response Letter (CRL). An approval letter authorizes commercial marketing of the drug for specific indications and with specific prescribing information which was reviewed in connection with the NDA. A CRL indicates that the review cycle of the application is complete, and the application is not ready for approval in its current form. A CRL describes the specific deficiencies that the FDA identified in the NDA and describes the conditions that must be met to secure final approval of a resubmitted NDA. The deficiencies identified may be minor, for example, requiring labeling changes, or major, for example, requiring the sponsor to conduct additional clinical trials. If a CRL is issued, the applicant may either resubmit the NDA, addressing all of the deficiencies identified in the letter; withdraw the application; or request an opportunity for a hearing. If the sponsor resubmits the NDA, the FDA has the goal of reviewing 90% of resubmitted applications in either two or six months (from receipt) depending on the content of the resubmission.</w:t>
      </w:r>
    </w:p>
    <w:p>
      <w:pPr>
        <w:spacing w:after="0" w:line="167" w:lineRule="exact"/>
        <w:rPr>
          <w:sz w:val="20"/>
          <w:szCs w:val="20"/>
          <w:color w:val="auto"/>
        </w:rPr>
      </w:pPr>
    </w:p>
    <w:p>
      <w:pPr>
        <w:jc w:val="both"/>
        <w:spacing w:after="0" w:line="164" w:lineRule="exact"/>
        <w:rPr>
          <w:sz w:val="20"/>
          <w:szCs w:val="20"/>
          <w:color w:val="auto"/>
        </w:rPr>
      </w:pPr>
      <w:r>
        <w:rPr>
          <w:rFonts w:ascii="Times New Roman" w:cs="Times New Roman" w:eastAsia="Times New Roman" w:hAnsi="Times New Roman"/>
          <w:sz w:val="14"/>
          <w:szCs w:val="14"/>
          <w:color w:val="auto"/>
        </w:rPr>
        <w:t>Even with the submission of additional information, the FDA ultimately may decide that the resubmitted application does not satisfy the regulatory criteria for approval. If and when the issues identified in a CRL have been addressed and resolved to the FDA’s satisfaction, the FDA may issue an approval letter. 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approval studies be conducted to further assess a drug’s safety and efficacy, require testing and surveillance programs to monitor the product after commercialization, or impose other conditions, including distribution restrictions or other risk management mechanisms under a REMS, any of which can materially affect the potential market and profitability of the product.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Special FDA Expedited Review and Approval Programs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FDA has various programs, including Fast Track designation, Breakthrough Therapy designation, priority review, and accelerated approval which are intended to expedite or simplify the process for the development and FDA review of certain investigational products that are intended for the treatment of serious or life-threatening diseases or conditions.</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 sponsor may also request designation of a product candidate as a “Breakthrough Therapy.” A Breakthrough Therapy-designated product candidate is defined as a drug that is intended, alone or in combination with one or more other drugs or biologics,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 disciplinary review.</w:t>
      </w:r>
    </w:p>
    <w:p>
      <w:pPr>
        <w:spacing w:after="0" w:line="165" w:lineRule="exact"/>
        <w:rPr>
          <w:sz w:val="20"/>
          <w:szCs w:val="20"/>
          <w:color w:val="auto"/>
        </w:rPr>
      </w:pPr>
    </w:p>
    <w:p>
      <w:pPr>
        <w:jc w:val="both"/>
        <w:spacing w:after="0" w:line="169" w:lineRule="exact"/>
        <w:rPr>
          <w:sz w:val="20"/>
          <w:szCs w:val="20"/>
          <w:color w:val="auto"/>
        </w:rPr>
      </w:pPr>
      <w:r>
        <w:rPr>
          <w:rFonts w:ascii="Times New Roman" w:cs="Times New Roman" w:eastAsia="Times New Roman" w:hAnsi="Times New Roman"/>
          <w:sz w:val="14"/>
          <w:szCs w:val="14"/>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The FDA may grant Priority Review to NDAs for drugs that are intended to treat serious conditions and, if approved, would provide significant improvements in the safety or effectiveness of the treatment, diagnosis, or prevention of serious conditions. When an NDA is granted Priority Review, the PDUFA goal for the FDA is to review an NDA within six months, rather than the standard review of ten months, of the 60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filing date for NMEs and within six months of the submission receipt date for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NMEs.</w:t>
      </w:r>
    </w:p>
    <w:p>
      <w:pPr>
        <w:spacing w:after="0" w:line="1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Drug Designation</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3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In addition, if an orphan designated product receives marketing approval for a disease or condition broader than what is designated, it may not be entitled to orphan exclusivity.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FDA Regulation of Combination Products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Certain product candidates may be comprised of components, such as drug components and device components, which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 combination product with a drug primary mode of action generally would be reviewed and approved pursuant to the drug approval processes under the FDCA. In reviewing the NDA for such a product candidate,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drug-device combination products are subject to cGMP requirements applicable to both drugs and devices, including the Quality System Regulation, currently applicable to medical devices.</w:t>
      </w:r>
    </w:p>
    <w:p>
      <w:pPr>
        <w:spacing w:after="0" w:line="13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Post</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Approval Requirements</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additional clinical trials, REMS, and surveillance to assess safety and effectiveness after commercialization.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171" w:lineRule="exact"/>
        <w:rPr>
          <w:sz w:val="20"/>
          <w:szCs w:val="20"/>
          <w:color w:val="auto"/>
        </w:rPr>
      </w:pPr>
      <w:r>
        <w:rPr>
          <w:rFonts w:ascii="Times New Roman" w:cs="Times New Roman" w:eastAsia="Times New Roman" w:hAnsi="Times New Roman"/>
          <w:sz w:val="14"/>
          <w:szCs w:val="14"/>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NDA holder and any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manufacturers.</w:t>
      </w:r>
    </w:p>
    <w:p>
      <w:pPr>
        <w:spacing w:after="0" w:line="146" w:lineRule="exact"/>
        <w:rPr>
          <w:sz w:val="20"/>
          <w:szCs w:val="20"/>
          <w:color w:val="auto"/>
        </w:rPr>
      </w:pPr>
    </w:p>
    <w:p>
      <w:pPr>
        <w:jc w:val="both"/>
        <w:spacing w:after="0" w:line="168" w:lineRule="exact"/>
        <w:rPr>
          <w:sz w:val="20"/>
          <w:szCs w:val="20"/>
          <w:color w:val="auto"/>
        </w:rPr>
      </w:pPr>
      <w:r>
        <w:rPr>
          <w:rFonts w:ascii="Times New Roman" w:cs="Times New Roman" w:eastAsia="Times New Roman" w:hAnsi="Times New Roman"/>
          <w:sz w:val="14"/>
          <w:szCs w:val="14"/>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manufacturers that the sponsor may decide to use. Accordingly, manufacturers must continue to expend time, money, and effort in the area of production and quality control to maintain cGMP compliance.</w:t>
      </w:r>
    </w:p>
    <w:p>
      <w:pPr>
        <w:spacing w:after="0" w:line="157"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uses, and a company that is found to have improperly promoted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Later discovery of previously unknown problems with a product, including adverse events of unanticipated severity or frequency, or with manufacturing processes, or failure to comply with regulatory requirements at any point before or after product approval, may result in significant regulatory actions. Such actions may include:</w:t>
      </w:r>
    </w:p>
    <w:p>
      <w:pPr>
        <w:spacing w:after="0" w:line="14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revocation, or withdrawal of an approval;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clinical hold or termination of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untitled letters, or mandated modification of promotional materials or labeling;</w:t>
      </w:r>
    </w:p>
    <w:p>
      <w:pPr>
        <w:spacing w:after="0" w:line="147" w:lineRule="exact"/>
        <w:rPr>
          <w:rFonts w:ascii="Times New Roman" w:cs="Times New Roman" w:eastAsia="Times New Roman" w:hAnsi="Times New Roman"/>
          <w:sz w:val="14"/>
          <w:szCs w:val="14"/>
          <w:color w:val="auto"/>
        </w:rPr>
      </w:pPr>
    </w:p>
    <w:p>
      <w:pPr>
        <w:ind w:left="520" w:hanging="260"/>
        <w:spacing w:after="0" w:line="188" w:lineRule="exact"/>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of corrective information, issuance of safety alerts, imposition of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requirements, including the need for additional testing, imposition of distribution or other restrictions under a REMS;</w:t>
      </w:r>
    </w:p>
    <w:p>
      <w:pPr>
        <w:spacing w:after="0" w:line="16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product seizures or detentions;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allow imports or exports;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 or distribution;</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debarment, injunctions, fines, consent decrees, corporate integrity agreements, debarment from receiving government contracts and new orders under existing contracts;</w:t>
      </w:r>
    </w:p>
    <w:p>
      <w:pPr>
        <w:spacing w:after="0" w:line="17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exclusion from participation in federal and state healthcare programs, restitution, disgorgement; or</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or criminal penalties including fines and imprisonment.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Non-Patent Exclusivity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FDCA provides five years of non-patent data exclusivity for a drug product approved as a new chemical entity (NCE).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molecule, responsible for the therapeutic activity of the drug substance. During the NCE exclusivity period, the FDA may not accept for review an ANDA or an NDA submitted under Section 505(b)</w:t>
      </w:r>
    </w:p>
    <w:p>
      <w:pPr>
        <w:spacing w:after="0" w:line="14" w:lineRule="exact"/>
        <w:rPr>
          <w:sz w:val="20"/>
          <w:szCs w:val="20"/>
          <w:color w:val="auto"/>
        </w:rPr>
      </w:pPr>
    </w:p>
    <w:p>
      <w:pPr>
        <w:ind w:firstLine="5"/>
        <w:spacing w:after="0" w:line="247" w:lineRule="auto"/>
        <w:tabs>
          <w:tab w:leader="none" w:pos="20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NDA that contains the previously approved active moiety. An ANDA or 505(b)(2) application, however, may be submitted one year before NCE exclusivity expires if the application contains a certification of patent invalidity or non-infringement to one of the patents listed with the FDA by the innovator NDA holder.</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FDCA alternatively provides three years of non-patent exclusivity to the holder of an NDA, including a 505(b)(2) NDA or supplement to an existing NDA, when the application contains reports of new clinical investigations (NCIs), other than bioavailability studies, conducted by the sponsor that were essential to approval of the application. Changes to an approved drug product that affect its active ingredient(s), strength, dosage form, route of administration or conditions of use may qualify for this exclusivity. During the NCI exclusivity period, FDA may not approve an ANDA or 505(b)</w:t>
      </w:r>
    </w:p>
    <w:p>
      <w:pPr>
        <w:jc w:val="both"/>
        <w:ind w:firstLine="5"/>
        <w:spacing w:after="0" w:line="159" w:lineRule="exact"/>
        <w:tabs>
          <w:tab w:leader="none" w:pos="20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NDA by another company for the condition of approval of the drug to which the exclusivity applies.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controlled clinical trials necessary to demonstrate safety and efficacy.</w:t>
      </w:r>
    </w:p>
    <w:p>
      <w:pPr>
        <w:spacing w:after="0" w:line="167"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patent exclusivity periods described above as well as applicable patent terms. This six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Pediatric exclusivity is not a patent term extension, but it effectively extends the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Fraud and Abuse, and Transparency Laws and Regulations</w:t>
      </w:r>
    </w:p>
    <w:p>
      <w:pPr>
        <w:spacing w:after="0" w:line="191" w:lineRule="exact"/>
        <w:rPr>
          <w:sz w:val="20"/>
          <w:szCs w:val="20"/>
          <w:color w:val="auto"/>
        </w:rPr>
      </w:pPr>
    </w:p>
    <w:p>
      <w:pPr>
        <w:jc w:val="both"/>
        <w:spacing w:after="0" w:line="161" w:lineRule="exact"/>
        <w:rPr>
          <w:sz w:val="20"/>
          <w:szCs w:val="20"/>
          <w:color w:val="auto"/>
        </w:rPr>
      </w:pPr>
      <w:r>
        <w:rPr>
          <w:rFonts w:ascii="Times New Roman" w:cs="Times New Roman" w:eastAsia="Times New Roman" w:hAnsi="Times New Roman"/>
          <w:sz w:val="14"/>
          <w:szCs w:val="14"/>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(CMS), the Office of Inspector General (OIG), and the Health Resources and Services Administration (HRSA)), the Department of Veterans Affairs (VA), the Department of Defense (DOD), and certain state and local governmental authorities.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We must comply with numerous healthcare laws, including but not limited to,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kickback and false claims laws and regulations as well as transparency laws and regulations with respect to drug pricing and payments and other transfers of value made to healthcare professionals, which are described below.</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to determine whether one purpose of an arrangement involving remuneration is to induce referrals of federal healthcare-covered business. In addition,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Federal Civil False Claims Act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federal Health Insurance Portability and Accountability Act of 1996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payer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In addition, similar to the Anti-Kickback Statute, a person or entity no longer needs to have actual knowledge of the statute or specific intent to violate it.</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 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coverage and reimbursement from any federal programs, including Medicare and Medicaid, and no other entity participating in those programs would be permitted to enter into contracts with the manufacturer.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manufacturer from engaging those individuals, which could adversely affect operations, and could result in significant reputational harm.</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federal Physician Payments Sunshine Act requires certain manufacturers of drugs, devices, biologics and medical supplies for which payment is available under Medicare, Medicaid or the Children’s Health Insurance Program, with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specific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26" w:lineRule="exact"/>
        <w:rPr>
          <w:sz w:val="20"/>
          <w:szCs w:val="20"/>
          <w:color w:val="auto"/>
        </w:rPr>
      </w:pPr>
    </w:p>
    <w:p>
      <w:pPr>
        <w:jc w:val="both"/>
        <w:spacing w:after="0" w:line="167" w:lineRule="exact"/>
        <w:rPr>
          <w:sz w:val="20"/>
          <w:szCs w:val="20"/>
          <w:color w:val="auto"/>
        </w:rPr>
      </w:pPr>
      <w:r>
        <w:rPr>
          <w:rFonts w:ascii="Times New Roman" w:cs="Times New Roman" w:eastAsia="Times New Roman" w:hAnsi="Times New Roman"/>
          <w:sz w:val="14"/>
          <w:szCs w:val="14"/>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payer, including commercial insurers, and some have transparency laws that require reporting price increases and related information.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regulatory safe harbors available under such laws, it is possible that certain business activities could be subject to challenge under one or more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Violation of any of the laws or regulations described above or any other applicable laws include significant penalties and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31" w:lineRule="exact"/>
        <w:rPr>
          <w:sz w:val="20"/>
          <w:szCs w:val="20"/>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marketing requirements, including safety surveillance,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fraud and abuse laws, and implementation of corporate compliance programs and reporting of payments or transfers of value to healthcare professionals.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Government and other third-party payors are increasingly challenging the prices charged for health care products, examining the cost-effectiveness of new products, in addition to their safety and efficacy, and limiting or attempting to limit both coverage and the level of reimbursement. Further, no uniform policy requirement for coverage and reimbursement exists among third-party payors in the U.S., which causes significant uncertainty related to the insurance coverage and reimbursement of newly approved products. Therefore, coverage and reimbursement can differ significantly from payor to payor and health care provider to health care provider. As a result, the coverage determination process is often time-consuming and costly and may require the provision of scientific and clinical support for the use of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There may also be significant delays in obtaining coverage and reimbursement for newly approved products, and coverage may be more limited than the purposes for which the product is approved by the FDA. Moreover, eligibility for coverage and reimbursement does not imply that a product will be paid for in all cases or at a rate which the health care providers who purchase those products will find cost-effective. We expect pricing pressures in connection with the sale of any of our drug candidates due to the trend toward managed healthcare, the increasing influence of health maintenance organizations, and additional legislative changes.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cannot be sure that coverage and reimbursement will be available for any product that we commercialize and, if reimbursement is available, what the level of reimbursement will be. Coverage and reimbursement may impact the demand for, or the price of, any drug candidate for which we obtain marketing approval. If coverage and reimbursement are not available or reimbursement is available only to limited levels, we may not successfully commercialize any drug candidate for which we obtain marketing approval.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For example, in March 2010, the ACA was enacted in the U.S.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place in its current form.</w:t>
      </w:r>
    </w:p>
    <w:p>
      <w:pPr>
        <w:spacing w:after="0" w:line="3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addition, other legislative and regulatory changes have been proposed and adopted in the U.S. since the ACA was enacted. These changes included an aggregate reduction in Medicare payments to providers, which went into effect on April 1, 2013 and will remain in effect through 2032,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AMP.</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Most recently, on August 16, 2022, President Biden signed the Inflation Reduction Act of 2022 (the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Medicare Part D coverage gap discount program with a new discounting program (beginning in 2025). The IRA permits the Secretary of the Department of Health and Human Services (HHS) to implement many of these provisions through guidance, as opposed to regulation, for the initial years. HHS has issued guidance, and is expected to continue to issue guidance, even while multiple lawsuits challenging the IRA negotiation requirement remain pending. The impact of the IRA on the pharmaceutical industry and our business cannot yet be fully determined but is likely to be significant. However, because our anticipated patient demographic for our product candidates, if approved, is unlikely to include a significant number of Medicare beneficiaries, we do not expect that the IRA will directly impact our ability to commercialize our drug candidates.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third-party payors also require pre-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of coverage for new or innovative devices or therapies before they will reimburse healthcare providers that use such therapies.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expect that these initiatives, as well as other healthcare reform measures that may be adopted in the future, as well as the trend toward managed healthcare and increasing influence of managed care organizations,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drug candidates.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Foreign Corrupt Practices Act</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U.S. The FCPA also obligates companies whose securities are listed in the U.S.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government contracts.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Privacy and Security Regulation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Numerous state and federal laws, regulations and standards govern the collection, use, access to, confidentiality and security of health-related and other personal information, and could apply now or in the future to our operations or the operations of our partners. Such laws and regulations include data breach notification laws, health information privacy and security laws and consumer protection laws.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191" w:lineRule="exact"/>
        <w:rPr>
          <w:sz w:val="20"/>
          <w:szCs w:val="20"/>
          <w:color w:val="auto"/>
        </w:rPr>
      </w:pPr>
    </w:p>
    <w:p>
      <w:pPr>
        <w:jc w:val="both"/>
        <w:spacing w:after="0" w:line="163" w:lineRule="exact"/>
        <w:rPr>
          <w:sz w:val="20"/>
          <w:szCs w:val="20"/>
          <w:color w:val="auto"/>
        </w:rPr>
      </w:pPr>
      <w:r>
        <w:rPr>
          <w:rFonts w:ascii="Times New Roman" w:cs="Times New Roman" w:eastAsia="Times New Roman" w:hAnsi="Times New Roman"/>
          <w:sz w:val="14"/>
          <w:szCs w:val="14"/>
          <w:color w:val="auto"/>
        </w:rPr>
        <w:t>To the extent we choose to develop or sell any products outside of the U.S., we will be subject to a variety of foreign regulatory requirements of other countries regarding safety and efficacy and governing, among other things, the collection and use of health-related and other personal information, clinical trials, marketing authorization, commercial sales, and distribution of our products. For example, in the European Union (EU) we must obtain authorization of a clinical trial application in each member state in which we intend to conduct a clinical trial. In addition, certain foreign laws govern the privacy and security of personal data, including health-related data and clinical trial data. Whether or not we obtain U.S.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U.S.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approval regulatory requirements, such as those regarding product manufacture, marketing, or distribution, would apply to any product that is approved outside the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Human Capital and Employees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our people are one of our greatest assets. With colleagues who can contribute unique viewpoints and diverse perspectives to all aspects of the business, we believe that our culture can be more collaborative, more accepting of difference and more prepared for overall success as we seek to develop groundbreaking therapies for psychiatric and neurological disorders.</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of May 31, 2025, we employed 56 full-time employees and one part-time employee. 40 full-time employees work in research and development and laboratory support services, and 16 full-time employees work in management, corporate development and communications, legal, human resources, general and administrative roles. Staffing for other functional areas is achieved through our broad and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never had a work stoppage, and none of our employees is represented by a labor organization or under any collective bargaining agreement. We consider our employee relations to be good.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file reports and other information with the U.S. Securities and Exchange Commission (SEC), as required by the Securities Exchange Act of 1934, as amended (the Exchange Act). We make available free of charge through our website (</w:t>
      </w:r>
      <w:r>
        <w:rPr>
          <w:rFonts w:ascii="Times New Roman" w:cs="Times New Roman" w:eastAsia="Times New Roman" w:hAnsi="Times New Roman"/>
          <w:sz w:val="14"/>
          <w:szCs w:val="14"/>
          <w:u w:val="single" w:color="auto"/>
          <w:color w:val="auto"/>
        </w:rPr>
        <w:t>http://www.vistagen.com</w:t>
      </w:r>
      <w:r>
        <w:rPr>
          <w:rFonts w:ascii="Times New Roman" w:cs="Times New Roman" w:eastAsia="Times New Roman" w:hAnsi="Times New Roman"/>
          <w:sz w:val="14"/>
          <w:szCs w:val="14"/>
          <w:color w:val="auto"/>
        </w:rPr>
        <w:t>) our annual reports on Form 10-K, quarterly reports on Form 10-Q, current reports on Form 8-K and any amendments to those reports filed or furnished pursuant to Sections 13(a) and 15(d) of the Exchange Act. We make these reports available through our website as soon as reasonably practicable after we electronically file such reports with, or furnish such reports to, the SEC.</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regularly use our website to post information regarding our business, product development programs and governance, and we encourage investors to use our website, particularly the information in the section entitled “</w:t>
      </w:r>
      <w:r>
        <w:rPr>
          <w:rFonts w:ascii="Times New Roman" w:cs="Times New Roman" w:eastAsia="Times New Roman" w:hAnsi="Times New Roman"/>
          <w:sz w:val="14"/>
          <w:szCs w:val="14"/>
          <w:i w:val="1"/>
          <w:iCs w:val="1"/>
          <w:color w:val="auto"/>
        </w:rPr>
        <w:t>Investors</w:t>
      </w:r>
      <w:r>
        <w:rPr>
          <w:rFonts w:ascii="Times New Roman" w:cs="Times New Roman" w:eastAsia="Times New Roman" w:hAnsi="Times New Roman"/>
          <w:sz w:val="14"/>
          <w:szCs w:val="14"/>
          <w:color w:val="auto"/>
        </w:rPr>
        <w:t>,” as a source of information about us. 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the other information in this Annual Report, including our Consolidated Financial Statements and the related notes included in this Annual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56" w:lineRule="exact"/>
        <w:rPr>
          <w:sz w:val="20"/>
          <w:szCs w:val="20"/>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of ongoing or future nonclinical or clinical trials of our product candidates, or material delays in the completion and/or commencement of our ongoing or planned nonclinical or clinical trials, could result in increased costs to us and could delay, prevent or limit our ability to generate revenue and continue our business;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net losses since inception, and we will continue to incur substantial operating losses for the foreseeable future;</w:t>
      </w:r>
    </w:p>
    <w:p>
      <w:pPr>
        <w:spacing w:after="0" w:line="19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with no approved products or revenues from product sales, and limited experience developing and commercializing new product candidates, which makes it difficult to assess our future viability;</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focused on neuroscience drug development, a field that has seen very limited success. The ability to successfully develop product candidates in this field is extremely difficult and is subject to a number of unique challenges;</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completion of nonclinical studies and/or clinical trials in any of our product candidate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since early 2021. If we fail to effectively manage our growth, we may not be able to execute on our business objectives;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spacing w:after="0" w:line="145"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require substantial additional financing to execute our business plan, including further nonclinical and clinical development, contract manufacturing and potential commercialization of our product candidates;</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retain or attract key management and scientific personnel, we may be unable to successfully produce, develop, and commercialize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highly competitive and rapidly changing industries, which may result in others discovering, developing or commercializing competing products before or more successfully than we do;</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staffing, large staff turnover and/or inadequate funding for the FDA or other government agencies could hinder those agencies from performing normal business functions on which the operation of our business may rely, which could negatively impact our business; and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described below.</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If we are unable to effectively manage the impact of these and other risks, our ability to operate and execute our strategic business plan would be substantially impaired. In turn, the value of our securities would be materially reduced.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successful development of pharmaceutical products is highly uncertain.</w:t>
      </w:r>
    </w:p>
    <w:p>
      <w:pPr>
        <w:spacing w:after="0" w:line="1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spacing w:after="0" w:line="157"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enrollment and completion of any of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48"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pacing w:after="0" w:line="16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equivalent non-U.S. regulatory authorities may find the chemistry, manufacturing and controls, or (CMC) data insufficient to support the quality of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study results may show the product candidate to be less effective than desired or to have harmful side effects;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post-marketing approval requirements;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proprietary rights of others and their competing products and technologies that may prevent our product candidates from being commercialized.</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may not have the financial resources to continue development of or commercialize our product candidates if we experience any issues that further delay or prevent regulatory approval of, or our ability to commercialize, our product candidates, including:</w:t>
      </w:r>
    </w:p>
    <w:p>
      <w:pPr>
        <w:spacing w:after="0" w:line="16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comparable foreign regulatory authorities that our product candidates are safe and effective;</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product-related adverse events experienced by subjects in our clinical trials, including unexpected toxicity results, or by individuals using drugs or therapeutic biologics similar to our product candidates;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submitting an IND or comparable foreign applications or delays or failure in obtaining the necessary approvals or allowances from regulators to commence a clinical trial or a suspension or termination, or hold, of a clinical trial once commenced;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comparable foreign regulatory authorities regarding the scope or design of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effectiveness of our product candidates observed during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better than expected performance of control arms, such as placebo groups, which could lead to negative or inconclusive results from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subjects in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of subjects from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product candidates or other materials necessary for the conduct of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anticipated clinical trial or manufacturing costs;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comparable regulatory authority inspection and review of our clinical trial sites;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the clinical trial protocol or otherwise meet their contractual obligations in a timely manner, or at all;</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policies and guidelines, including the imposition of additional regulatory oversight around clinical testing generally or with respect to our therapies in particular; or</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and comparable foreign regulatory authorities.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$51.4 million and $29.4 million for the years ended March 31, 2025 and 2024, respectively.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189"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clinical development, including as we advance these candidates into and through later-stage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quality control, medical, scientific and other technical personnel to support the clinical development of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 increase in headcount as we expand our research and development organization and market development and pre-commercial planning activities;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pre-commercial and commercial activities to establish sales, marketing and distribution capabilities;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preclinical-stage product candidates into clinical development;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Biopharmaceutical product development entails substantial upfront capital expenditures and significant risk that any potential product candidate will fail to demonstrate adequate efficacy or an acceptable safety profile, gain regulatory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generated revenue from product sales and may never be profitable.</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financing to execute our business plan, and if we are unable to raise capital when needed, we could be forced to delay, reduce or terminate our research and development programs, pre-commercialization or commercialization efforts.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need for additional funding depends on many factors, including:</w:t>
      </w:r>
    </w:p>
    <w:p>
      <w:pPr>
        <w:spacing w:after="0" w:line="189"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future product candidates we pursue and their development requirements;</w:t>
      </w:r>
    </w:p>
    <w:p>
      <w:pPr>
        <w:spacing w:after="0" w:line="189"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researching, developing and commercializing our product candidates and any other additional product candidates we may develop and pursue in the future;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the costs involved in, obtaining marketing approvals for our product candidates and any other additional product candidates we may develop and pursue in the future;</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receipt of regulatory approval, revenue, if any, received from commercial sales of our product candidates or any other additional product candidates we may develop and pursue in the future;</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formulating and manufacturing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and maintain strategic partnerships, licensing or other collaborative arrangements necessary for the development and commercialization of our product candidates, on favorable financial terms, if at all;</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regulatory approval, market acceptance of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 as we expand our research and development, market development, pre-commercial and commercial activities;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protecting our intellectual property rights, including enforcing and defending intellectual property related claims; and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2025 and 2024, the Company had cash, cash equivalents, and marketable securities of $80.5 million and $119.2 million. As of June 17, 2025, the issuance date of the consolidated financial statements as of and for the year ended March 31, 2025, there is uncertainty about whether the Company’s combined cash, cash equivalents, and marketable securities will be sufficient to fund operations beyond twelve months from the issuance date of these consolidated financial statements and therefore the Company concluded that substantial doubt existed about the Company’s ability to continue as a going concern.</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When necessary, if we are unable to obtain additional funding on a timely basis and on acceptable terms, we may be required to significantly curtail, delay or terminate one or more of our research or product development programs, our pre-commercialization efforts or be unable to continue or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Currently, we are developing or have development plans in place for the five clinical-stage pherine product candidates currently in our neuroscience pipeline. We seek to maintain a process of prioritization and optimal capital allocation to maintain an appropriate balance between the development of our most advanced product candidates and indications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ensuring the development of additional potential product candidates and indications, on our own or with strategic collaborators.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substantial dilution to our stockholders, restrict our operations or require us to relinquish significant rights to our technologies or product candidates.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Product Development, Regulatory Approval</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(EU)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 NDA to the FDA or similar drug approval submissions to comparable foreign regulatory authorities for any product candidate. We must complete additional preclinical studies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clinical trials to demonstrate the safety and efficacy of our product candidates in humans before we will be able to seek or obtain these approvals.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Nonclinical studies and clinical trials are expensive, difficult to design and implement, can take many years to complete and are inherently uncertain as to outcome. We cannot guarantee that any nonclinical studies or clinical trials will be conducted as planned or completed on schedule, if at all.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nonclinical studies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or comparable foreign regulatory authorities may disagree with our regulatory plan for our product candidates.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nonclinical studies or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 approvals. For example, while we have designed our U.S. registration-directed PALISADE program for fasedienol for the acute treatment of SAD after receiving input and feedback from the FDA, there can be no assurance that the design of our planned clinical trials will be satisfactory to the FDA or that the FDA will not require us to modify our trials or conduct additional clinical trials,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PH80 for the management of VMS (hot flashes) associated with menopause, which may make clinical development and regulatory approval for those product candidates more challenging.</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135" w:lineRule="exact"/>
        <w:rPr>
          <w:sz w:val="20"/>
          <w:szCs w:val="20"/>
          <w:color w:val="auto"/>
        </w:rPr>
      </w:pPr>
    </w:p>
    <w:p>
      <w:pPr>
        <w:ind w:left="5580" w:right="3780" w:hanging="5320"/>
        <w:spacing w:after="0" w:line="983" w:lineRule="auto"/>
        <w:tabs>
          <w:tab w:leader="none" w:pos="51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as to the design or implementation of our clinical trials;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-280670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not file or accept our NDA or marketing application for substantive review;</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equivalent non-U.S. regulatory authorities may find the chemistry, manufacturing and controls, or data insufficient to support the quality of our product candidates;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the dosing regimen, design or implementation of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our product candidates are safe and effective for any of their proposed indications;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may not meet the level of statistical significance required by the FDA or comparable foreign regulatory authorities for approval;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our interpretation of data from our preclinical studies or clinical trials;</w:t>
      </w:r>
    </w:p>
    <w:p>
      <w:pPr>
        <w:spacing w:after="0" w:line="19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acquired our pherine product candidates from Pherin,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Phase 3 clinical trial of fasedienol to meet its primary endpoint, and we cannot be certain that we will not face similar setbacks in the future. In addition to the risk of ongoing 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incur unexpected costs or experience material delays in completing, or ultimately be unable to complete, the contract manufacturing, nonclinical and clinical development and commercialization of our product candidates.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To obtain the requisite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162" w:lineRule="exact"/>
        <w:rPr>
          <w:sz w:val="20"/>
          <w:szCs w:val="20"/>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other reviewing bodies such as ethics committees may not authorize us or our investigators to commence a clinical trial, or to conduct or continue a clinical trial at a prospective or specific trial site;</w:t>
      </w:r>
    </w:p>
    <w:p>
      <w:pPr>
        <w:spacing w:after="0" w:line="13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reach agreement on acceptable terms with prospective contract research organizations (CROs) and clinical trial sites, the terms of which can be subject to extensive negotiation and may vary significantly among different CROs and trial sites;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further challenges or delays in recruiting principal investigators or study sites to lead our clinical trials;</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51"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contract development and manufacturing organizations (CDMOs), CROs, clinical research sites or other third-parties acting on our behalf or in connection with our studies, may fail to comply with regulatory requirements or meet their contractual obligations to us in a timely manner, or at all;</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to reflect changes in regulatory requirements or guidance, which may be required to resubmit to an institutional review board (IRB) and regulatory authorities for re-examination;</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1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the applicable foreign regulatory agencies to significantly change in a manner rendering our clinical data insufficient for approval.</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clinical development activities could be materially delayed or otherwise adversely affected by difficulties enrolling and randomizing patients in our clinical trials.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and may continue to experience difficulties in patient enrollment and randomization in our clinical trials for a variety of reasons, including the stringent entry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Patient enrollment and randomization is affected by many factors, including:</w:t>
      </w:r>
    </w:p>
    <w:p>
      <w:pPr>
        <w:spacing w:after="0" w:line="189"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nature of the patient population required for analysis of the trial’s primary endpoints;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or condition under investigation;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trial sites;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train and retain clinical trial investigators and clinical research site staff with the appropriate competencies and experience through the duration of the trial;</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recruitment or referral practices of centralized recruiting firms, clinical trial sites and physicians;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 in the trial;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completion.</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inability to enroll and randomize a sufficient number of patients for our clinical trials would result in significant delays or might require us to abandon one or more clinical trials or our development efforts altogether. Material delays in patient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enrollment and randomization may result in increased costs, affect the timing or outcome of ongoing or planned clinical trials and the public disclosure of trial results, product candidate development and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product candidates proceed through preclinical studies and clinical development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personnel and review processes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the timing of regulatory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16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capital resources or capital constraints we experience;</w:t>
      </w:r>
    </w:p>
    <w:p>
      <w:pPr>
        <w:spacing w:after="0" w:line="19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costs and results of our clinical trials and research and development activities, including the extent of scheduling conflicts with participating clinicians, collaborators and trial participants;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enroll and randomize patients who meet clinical trial eligibility criteria;</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of approvals by the FDA and other regulatory authorities and the timing thereof;</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actions, decisions or rules issued by regulators;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sufficient, reliable and affordable supplies of materials used to manufacture our product candidates;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of our collaborators with respect to the development and commercialization of our product candidates;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securing of costs related to, and timing issues associated with, product manufacturing as well as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fail to achieve announced milestones in the timeframes we expect, the development and commercialization of our product candidates may be delayed, and our business and results of operations may be harmed.</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depend heavily on the success of one or more of our current product candidates and we cannot be certain that we will be able to obtain regulatory approval for or commercialize any of our product candidates.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52" w:lineRule="exact"/>
        <w:rPr>
          <w:sz w:val="20"/>
          <w:szCs w:val="20"/>
          <w:color w:val="auto"/>
        </w:rPr>
      </w:pPr>
    </w:p>
    <w:p>
      <w:pPr>
        <w:jc w:val="both"/>
        <w:ind w:left="520" w:hanging="260"/>
        <w:spacing w:after="0" w:line="262"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FDA advisory committee may recommend, or the FDA may require, a Risk Evaluation and Mitigation Strategies (REMS) safety program as a condition of approval or post-approval;</w:t>
      </w:r>
    </w:p>
    <w:p>
      <w:pPr>
        <w:spacing w:after="0" w:line="19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FDA advisory committee or the FDA or applicable regulatory agency may determine that there is insufficient evidence of overall effectiveness or safety in a NDA and require additional clinical studies;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3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applicable foreign regulatory agency may change its approval policies or adopt new regulations.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of these factors, many of which are beyond our control, could jeopardize our ability to obtain regulatory approval for and commercialize any current or future drug product candidate we may develop. Any such setback in our pursuit of regulatory approval for any product candidate would have a material adverse effect on our business and prospects.</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3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162"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suspend marketing of a product, or we may decide to remove such product from the marketplace;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modify their approvals of our product;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conduct post-marketing studies;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our product is administered;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fines, injunctions, or the imposition of criminal or civil penalties, or be sued and held liable for harm caused to subjects or patients;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may become less competitive,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Before we can commercialize our product candidates in the U.S. or any market outside the U.S., the U.S. Drug Enforcement Administration (DEA)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If any of our product candidates are regulated as controlled substances, depending on the DEA controlled substance schedule in which the product candidates are placed or that of its foreign counterpart, we, our CDMOs, and any future distributors, prescribers, and dispensers of the scheduled product candidates may be subject to significant regulatory requirements, such as registration, security, recordkeeping, reporting, storage, distribution, importation, exportation,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concentrated a significant portion of our research and development efforts on the treatment of neuropsychiatric and neurological disorders, a field that faces certain challenges in drug development.</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focused a significant portion of our research and development efforts on addressing neuropsychiatric and neurological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159"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the product;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the product compared to any competitive therapies;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product is designated under physician treatment guidelines as a first-, second- or third-line therapy;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any future collaborators, to offer the product for sale at competitive prices;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convenience and ease of administration compared to alternative treatments;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including distribution or use restrictions contained in the product’s approved labeling;</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sales, marketing and distribution support;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the product;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adequacy of coverage and reimbursement from government payors, managed care plans and other third-party payors.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failure by one or more of our product candidates that obtains regulatory approval to achieve market acceptance or commercial success would adversely affect our business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develop and commercialize other product candidates, we may be unable to grow our business and our ability to achieve our strategic objectives would be impaired.</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manufacturing,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spacing w:after="0" w:line="152"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methodology used may not be successful in identifying potential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alternatives that render our product candidates obsolete;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that we develop may nevertheless be covered by third parties’ patents or other exclusive rights;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on further study, be shown to have harmful side effects or other characteristics that indicate it is unlikely to be effective or otherwise does not meet applicable regulatory criteria;</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capable of being produced in commercial quantities at an acceptable cost, or at all;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accepted as safe and effective by patients, the medical community or third-party payors.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should we seek to acquire additional product candidates, future acquisitions may entail numerous operational and financial risks, including:</w:t>
      </w:r>
    </w:p>
    <w:p>
      <w:pPr>
        <w:spacing w:after="0" w:line="189"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unknown liabilities;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business and diversion of management’s time and attention to develop acquired products or technologies;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substantial debt, dilutive issuances of securities or depletion of cash to pay for acquisitions;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acquisition and integration costs;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combining the operations and personnel of any acquired businesses with our operations and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relationships with key suppliers or customers of any acquired businesses due to changes in management and ownership;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motivate key employees of any acquired businesses.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spacing w:after="0" w:line="3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“Business—Competition” in this Annual Report for examples of the competition that our product candidates face.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15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currently have no marketing, sales or distribution capabilities. We intend to establish a sales and marketing capabilities,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189"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sufficient capital resources available to us in a timely manner, if at all, and on commercially reasonable terms;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adequate numbers of effective sales and marketing leadership and sales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or persuade adequate numbers of physicians to prescribe any future products;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16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of our future approved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 sites or entire trial programs;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litigation costs;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or costly settlements with, patients or other claimants;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or a change in the indications for which they may be used;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and scientific resources from our business operations;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product candidates.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along with our collaborators, CDMOs, CROs, third-party logistics providers, distributors and other contractors and consultants, utilize information technology (IT)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may depend, in part, on our ability to penetrate markets outside of the U.S., where we would be subject to additional regulatory burdens and other risks and uncertainties.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spacing w:after="0" w:line="146"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ability to obtain reimbursement for our product candidates;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directly control commercial activities because we are relying on third parties;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of complying with complex and changing foreign regulatory, tax, accounting and legal requirements;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medical practices and customs in foreign countries affecting acceptance in the marketplace;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or export licensing requirements;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accounts receivable collection times;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lead times for shipping;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language barriers for technical training;</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of intellectual property rights, different standards of patentability and different availability of prior art in some foreign countries as compared with the U.S.;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additional potentially relevant third-party intellectual property rights;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interpretation of contractual provisions governed by foreign laws in the event of a contract dispute.</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of our product candidates outside of the U.S. could also be adversely affected by the imposition of governmental controls, political and economic instability, trade restrictions and changes in tariffs.</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Managing Our Business and Operations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depend heavily on our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success depends, and will likely continue to depend, upon our ability to attract and retain the services of our executive officers, senior managerial and other senior personnel within our organization. Our executive officers and other senior employees may terminate their employment with us at any time. The loss of their services might impede the achievement of our operational and strategic objectives.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industry has experienced a high rate of turnover of management personnel in recent years. Replacing executive officers or other key employees may be difficult and may take an extended period of time because of the limited number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of March 31, 2025, we had 53 full-time employees, and two part 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159" w:lineRule="exact"/>
        <w:rPr>
          <w:sz w:val="20"/>
          <w:szCs w:val="20"/>
          <w:color w:val="auto"/>
        </w:rPr>
      </w:pPr>
    </w:p>
    <w:p>
      <w:pPr>
        <w:ind w:left="520" w:hanging="260"/>
        <w:spacing w:after="0" w:line="271"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standards;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healthcare fraud and abuse laws and regulations and similar laws and regulations established and enforced by comparable non-U.S. regulatory authorities;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that require the reporting of financial information or data accurately.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expand our organization, and as a result, we may encounter difficulties in managing our growth, which could disrupt our operations.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expect to continue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domestic or global economic or political conditions could adversely affect our business, financial condition or results of operations.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Remote working arrangements could significantly increase our digital and cybersecurity risks.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negatively impact our business, financial condition and results of operations, reputation, stock price and long-term value, which could adversely affect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politics in the U.S. could diminish the value of the pharmaceutical industry, thereby diminishing the value of our securities.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current political environment in the U.S. is volatile, and recent or future regulatory changes, especially at the FDA, have resulted, and may continue to result, in uncertainty throughout the pharmaceutical industry and, have an adverse effect on our business and the value of our securities. This political and regulatory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remain responsible for ensuring that each of our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use of third party contract manufactures to manufacture our product candidates may increase the risk that we will not have sufficient quantities of our product candidates, raw materials, active pharmaceutical ingredients (APIs) or drug products when needed or at an acceptable cost.</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contract manufacturers.</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currently rely on and engage third-party contract manufacturers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3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third-party contract manufacturers we rely on from time to time may have limited or no experience manufacturing our API and final drug products. If our third-party contract manufacturers have difficulty or suffer delays in successfully manufacturing material that meets our specifications, it may limit supply of our product candidates and could delay our clinical trials.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 if we are able to establish and maintain arrangements with third-party contract manufacturers, reliance on third-party contract manufacturers entails additional risks, including:</w:t>
      </w:r>
    </w:p>
    <w:p>
      <w:pPr>
        <w:spacing w:after="0" w:line="189" w:lineRule="exact"/>
        <w:rPr>
          <w:sz w:val="20"/>
          <w:szCs w:val="20"/>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comply with applicable regulatory requirements and reliance on third parties for manufacturing process development, regulatory compliance and quality assurance;</w:t>
      </w:r>
    </w:p>
    <w:p>
      <w:pPr>
        <w:spacing w:after="0" w:line="13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 parties;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third parties because of factors beyond our control;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the third party, at a time that is costly or inconvenient to us;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do not maintain our key third-party contract manufacturing relationships, we may fail to find replacement manufacturers or develop our own manufacturing capabilities, which could delay or impair our ability to obtain regulatory approval for our product candidates. If we do find replacement third-party contract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Additionally, if any third-party contract manufacturer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third-party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contract manufacturer may possess technology related to the manufacture of our product candidate that such third party owns independently. This would increase our reliance on such third-party contract manufacturer or require us to obtain a license from such third-party contract manufacturer in order to have another third party manufacture our product candidates.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contract manufacturers on satisfactory terms, which could delay our commercialization.</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Some of our third-party contract manufacturers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failure, or the failure of our third-party contract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FDA and other foreign regulatory authorities require our third-party contract manufacturers to register manufacturing facilities. The FDA and corresponding foreign regulators also inspect these facilities to confirm compliance with cGMPs and similar foreign requirements.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Failure of any third-party contract manufacturer to comply with cGMP requirements for applicable drug/device combination products could significantly affect supplies of our product candidates.</w:t>
      </w:r>
    </w:p>
    <w:p>
      <w:pPr>
        <w:spacing w:after="0" w:line="3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each of our current clinical-stage pherine product candidates, fasedienol, itruvone, PH15, PH80 and PH284, will be considered drug-device combination products. Third-party contract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(QSR)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any third-party contract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order to produce sufficient quantities to meet the demand for clinical trials and, if approved, subsequent commercialization of our product candidates, our third-party contract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70"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product recalls;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or comparable foreign regulatory authorities to approve pending applications or supplements to approved applications filed by us or suspension or withdrawal of approvals;</w:t>
      </w:r>
    </w:p>
    <w:p>
      <w:pPr>
        <w:spacing w:after="0" w:line="34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as to fasedienol for the acute treatment of SAD, the FDA has informed us that designation as a breakthrough therapy cannot be granted at this time.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Furthermore, the FDA has granted Fast Track designation for fasedienol for the acute treatment of SAD, for itruvone for the treatment of MDD, and for AV-101 for the adjunctive treatment of MDD and for the treatment of neuropathic pain,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Moreover, any intellectual property rights generated through the use of U.S. government funding are subject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15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159" w:lineRule="exact"/>
        <w:rPr>
          <w:sz w:val="20"/>
          <w:szCs w:val="20"/>
          <w:color w:val="auto"/>
        </w:rPr>
      </w:pPr>
    </w:p>
    <w:p>
      <w:pPr>
        <w:jc w:val="both"/>
        <w:ind w:left="520" w:hanging="260"/>
        <w:spacing w:after="0" w:line="262"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4"/>
          <w:szCs w:val="14"/>
          <w:color w:val="auto"/>
        </w:rPr>
        <w:t>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159" w:lineRule="exact"/>
        <w:rPr>
          <w:sz w:val="20"/>
          <w:szCs w:val="20"/>
          <w:color w:val="auto"/>
        </w:rPr>
      </w:pPr>
    </w:p>
    <w:p>
      <w:pPr>
        <w:jc w:val="both"/>
        <w:ind w:left="520" w:hanging="260"/>
        <w:spacing w:after="0" w:line="248"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72" w:lineRule="exact"/>
        <w:rPr>
          <w:rFonts w:ascii="Times New Roman" w:cs="Times New Roman" w:eastAsia="Times New Roman" w:hAnsi="Times New Roman"/>
          <w:sz w:val="14"/>
          <w:szCs w:val="14"/>
          <w:color w:val="auto"/>
        </w:rPr>
      </w:pPr>
    </w:p>
    <w:p>
      <w:pPr>
        <w:jc w:val="both"/>
        <w:ind w:left="520" w:hanging="260"/>
        <w:spacing w:after="0" w:line="247"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72" w:lineRule="exact"/>
        <w:rPr>
          <w:rFonts w:ascii="Times New Roman" w:cs="Times New Roman" w:eastAsia="Times New Roman" w:hAnsi="Times New Roman"/>
          <w:sz w:val="14"/>
          <w:szCs w:val="14"/>
          <w:color w:val="auto"/>
        </w:rPr>
      </w:pPr>
    </w:p>
    <w:p>
      <w:pPr>
        <w:jc w:val="both"/>
        <w:ind w:left="520" w:hanging="260"/>
        <w:spacing w:after="0" w:line="249"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16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price reporting laws, which require manufacturers to calculate and report complex pricing metrics in an accurate and timely manner to government programs;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3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35"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legislative and regulatory reform measures may have a material adverse effect on our business and results of operations.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3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continuing efforts of the government, insurance companies, managed care organizations and other payers of healthcare services to contain or reduce costs of healthcare may adversely affect:</w:t>
      </w:r>
    </w:p>
    <w:p>
      <w:pPr>
        <w:spacing w:after="0" w:line="189"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any of our product candidates, if approved;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set a price that we believe is fair for any of our product candidates, if approved;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revenues and achieve or maintain profitability;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taxes that we are required to pay;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In addition, recent and/or future policy changes may create uncertainty for our business. In its June 2024 decision in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xml:space="preserve"> (the Loper Decision), the U.S. Supreme Court overturned the longstanding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Off-label use or misuse of our product candidates may harm our reputation in the marketplace or result in injuries that lead to costly product liability suits.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Disruptions and personnel turnover, as a result of leadership changes, staff reductions or otherwise, at the FDA, other government agencies and comparable foreign regulatory authorities may also slow the time necessary for new drugs to be reviewed and/or approved by necessary government agencies and comparable foreign regulatory authorities, which would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adversely affect our business. For example, in recent years, the U.S. government has shut down several times and certain regulatory agencies, such as the FDA, have had to furlough critical employees and stop critical activities.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15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EEA)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(EU GDPR)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and subject to additional compliance obligations and to local law derogations. Since the beginning of 2021, after the end of the transition period following the withdrawal of the United Kingdom from the EU (Brexit),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EU and UK GDPR (collectively, the GDPR),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(DPF),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laws and regulations governing international operations could negatively impact or restrict our operations.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payments to hospitals in connection with clinical trials and other work have been deemed to be improper payments to government officials and have led to FCPA enforcement 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 Rights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3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someone connected with the prosecution of the patent withheld relevant information from the USPTO or made a misleading statement during prosecution.</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Overall, the degree of future protection for our proprietary rights is uncertain, and we cannot ensure that:</w:t>
      </w:r>
    </w:p>
    <w:p>
      <w:pPr>
        <w:spacing w:after="0" w:line="189" w:lineRule="exact"/>
        <w:rPr>
          <w:sz w:val="20"/>
          <w:szCs w:val="20"/>
          <w:color w:val="auto"/>
        </w:rPr>
      </w:pPr>
    </w:p>
    <w:p>
      <w:pPr>
        <w:jc w:val="both"/>
        <w:ind w:left="520" w:hanging="260"/>
        <w:spacing w:after="0" w:line="262"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spacing w:after="0" w:line="1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pending patent applications will issue as patents at all;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able to successfully commercialize our product candidates, if approved, before our relevant patents expire;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the first to make the inventions covered by each of our patents and pending patent applications;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the first to file patent applications for these inventions;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develop similar or alternative technologies that do not infringe our patents;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use pre-existing technology to effectively compete against us;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patents, if issued, will ultimately be found to be valid and enforceable, including on the basis of prior art relating to our patent applications and patents;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U.S. patents, if issued, will be eligible for listing in the FDA’s “Approved Drug Products with Therapeutics Equivalents Evaluations” (commonly known as the Orange Book);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line="271"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develop additional proprietary technologies or product candidates that are separately patentable; 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activities or products will not infringe the patents or proprietary rights of others.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intellectual property litigation or claims could force us to do one or more of the following:</w:t>
      </w:r>
    </w:p>
    <w:p>
      <w:pPr>
        <w:spacing w:after="0" w:line="189"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developing, selling or otherwise commercializing our product candidates;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for past use of the asserted intellectual property;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from the holder of the asserted intellectual property, which license may not be available on commercially reasonable terms, if at all; and</w:t>
      </w:r>
    </w:p>
    <w:p>
      <w:pPr>
        <w:spacing w:after="0" w:line="18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risks coming to fruition could have a material adverse effect on our business, results of operations, financial condition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patents and other intellectual property.</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jurisdictions may be inadequate to obtain a significant commercial advantage from the intellectual property that we develop or license.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U.S. patent law could diminish the value of patents in general, thereby impairing our ability to protect our products.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Numerous factors may limit any potential competitive advantage provided by our intellectual property rights.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52" w:lineRule="exact"/>
        <w:rPr>
          <w:sz w:val="20"/>
          <w:szCs w:val="20"/>
          <w:color w:val="auto"/>
        </w:rPr>
      </w:pPr>
    </w:p>
    <w:p>
      <w:pPr>
        <w:ind w:left="520" w:hanging="260"/>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make the inventions covered by a pending patent application that we own;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file patent applications covering an invention;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without infringing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patent applications that we own or license may not lead to issued patents</w:t>
      </w:r>
    </w:p>
    <w:p>
      <w:pPr>
        <w:spacing w:after="0" w:line="18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if issued, that we own or license may not provide us with any competitive advantages, or may be held invalid or unenforceable or be narrowed, as a result of legal challenges by our competitors;</w:t>
      </w:r>
    </w:p>
    <w:p>
      <w:pPr>
        <w:spacing w:after="0" w:line="13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may compete with us in jurisdictions where we do not pursue and obtain patent protection;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obtain and/or maintain necessary or useful licenses on reasonable terms or at all;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Should any of these events occur, they could significantly harm our business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may affect our stock price and the value of your investment.</w:t>
      </w: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56"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resulting from uncertainty and general economic conditions;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plans for, progress of or results from nonclinical and clinical development activities related to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FDA or other regulatory authority to review or approve our product candidates in a timely manner, or at all;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technologies, commercial relationships, acquisitions or other events by us or our competitors;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other neuroscience therapies in development by other companies;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our intellectual property portfolio;</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product candidates, if approved, to achieve commercial success;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trading volumes of similar companies;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overall fluctuations in U.S. debt and equity markets;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operating results;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financial guidance or securities analysts’ estimates of our financial performance;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and the terms on which we can raise it;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purchases of large blocks of our common stock, including sales or purchases by our executive officers, directors and significant stockholders;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short positions by holders or non-holders of our stock or warrants;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discussion of us or our stock price by the press and by anonymous or other online investor communities;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these risk factors.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may be issuances of shares of preferred stock in the future</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Restated Articles of Incorporation, as amended (the Articles),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to ensure compliance with corporate governance, federal securities law and accounting requirements</w:t>
      </w:r>
      <w:r>
        <w:rPr>
          <w:rFonts w:ascii="Times New Roman" w:cs="Times New Roman" w:eastAsia="Times New Roman" w:hAnsi="Times New Roman"/>
          <w:sz w:val="14"/>
          <w:szCs w:val="14"/>
          <w:b w:val="1"/>
          <w:bCs w:val="1"/>
          <w:color w:val="auto"/>
        </w:rPr>
        <w:t>.</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Sarbanes-Oxley Act),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in the future due to a variety of factors, many of which are outside of our control and may be difficult to predict, including the following:</w:t>
      </w:r>
    </w:p>
    <w:p>
      <w:pPr>
        <w:spacing w:after="0" w:line="146" w:lineRule="exact"/>
        <w:rPr>
          <w:sz w:val="20"/>
          <w:szCs w:val="20"/>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clinical trials for our product candidates or competing product candidates, or any other change in the competitive landscape of our industry,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recruit, enroll and retain subjects who meet our eligibility criteria for participation in our clinical trials, and any delays caused by difficulties in such efforts;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line="271"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and reimbursement policies with respect to our product candidates, if approved, and existing and potential future therapeutics that compete with our product candidates;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marketing approval for our product candidates and the timing and scope of any such approvals we may receive;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and commercialization activities relating to our product candidates, which may change from time to time;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which may vary depending on the quantity of production and the terms of our agreements with contract manufacturers;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hire and retain qualified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will or may incur to develop additional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should they receive approval, which may vary significantly;</w:t>
      </w:r>
    </w:p>
    <w:p>
      <w:pPr>
        <w:spacing w:after="0" w:line="199"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and volatile U.S. and global economic and political environments, including the impact of inflation and rising interest rates, and domestic or international political instability; and</w:t>
      </w:r>
    </w:p>
    <w:p>
      <w:pPr>
        <w:spacing w:after="0" w:line="33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of potential volatility in our trading price and trading volume, we may incur significant costs from class action securities litigation.</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stock market in general, and the Nasdaq Stock Market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filed a lawsuit in the United States District Court for the Northern District of California against the Company and certain of our executive officers, the members of our Board and certain other parties, claiming, under the U.S. federal securities laws and certain California civil statutes, among other things, allegedly false or misleading statements, and alleged omissions of material facts, related to our public disclosures. We believe the claims are without merit and intend to vigorously defend all claims. This type of litigation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stock incentive plans or otherwise may, and likely will significantly dilute all other stockholders.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may, and likely will result in substantial dilution to all of our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will cause stockholders to experience significant dilution of their ownership interests and the per share value of our common stock to decline.</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equity securities by us may adversely affect the market price of our common stock.</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Adverse market or macroeconomic and political conditions or market volatility resulting from global economic developments, political activity and uncertainty,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and research and development tax credits to offset future taxable income may be subject to certain limitations.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of March 31, 2025, we had U.S. federal net operating loss carryforwards totaling $229.2 million. Federal net operating loss carryforwards of approximately $82.1 million generated through our fiscal year ended March 31, 2018 will expire in our fiscal years ending March 31, 2025 through March 31, 2038. Federal net operating loss carryforwards of approximately $147.1 million generated in fiscal years ending after March 31, 2018 will carry forward indefinitely, but are subject to an 80% taxable income limitation. As of March 31, 2025, we had state net operating loss carryforwards totaling $66.6 million, which expire at various dates between 2029 and 2045. As of March 31, 2025, we also had U.S. federal and state research and development tax credit carryforwards of $7.6 million and $2.0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Code) a corporation that undergoes an “ownership change” is subject to limitations on its ability to utilize its pre-change net operating losses (NOLs)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Reports published by analysts, including projections in those reports that differ from our actual results, could adversely affect the price and trading volume of our common stock.</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Although we are currently in compliance with all applicable Nasdaq continued listing standards, there can be no assurance that we will be able to continue to comply with such Nasdaq continued listing standards in the future.</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in the future, Nasdaq delists our shares of common stock from trading on its exchange for failure to meet Nasdaq’s continued listing standards, we and our stockholders could face significant material adverse consequences including:</w:t>
      </w:r>
    </w:p>
    <w:p>
      <w:pPr>
        <w:spacing w:after="0" w:line="146"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price of our common stock may fluctuate due to a variety of factors, including:</w:t>
      </w:r>
    </w:p>
    <w:p>
      <w:pPr>
        <w:spacing w:after="0" w:line="189" w:lineRule="exact"/>
        <w:rPr>
          <w:sz w:val="20"/>
          <w:szCs w:val="20"/>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we and our customers operate;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performance and the performance of our competitors in general;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and adverse impact of the COVID-19 pandemic and post-COVID environment on the markets and the broader global economy;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or annual operating results;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by securities analysts about us, our competitors or our industry;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the failure of our competitors to meet analysts’ projections or guidance that we or our competitors may give to the market;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shares of our common stock available for public sale; and</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market and industry factors may materially reduce the market price of shares of our common stock regardless of our operating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multi-layered technical security measures, mandatory user security awareness and training, access control policies and activity monitoring. Additionally, we engage third-party cybersecurity experts to assess the security of our network.</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design and assess our program based on the NIST Special Publication 800-171 and the Cybersecurity Maturity Model Certification (CMMC) levels 1. This does not imply that we meet any particular technical standards, specifications, or requirements, only that we use the NIST CSF and CMMC maturity models as a guide to help us identify, assess, and manage cybersecurity risks relevant to our business.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cybersecurity risk management program is designed to be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cybersecurity risk management program includes:</w:t>
      </w:r>
    </w:p>
    <w:p>
      <w:pPr>
        <w:spacing w:after="0" w:line="189" w:lineRule="exact"/>
        <w:rPr>
          <w:sz w:val="20"/>
          <w:szCs w:val="20"/>
          <w:color w:val="auto"/>
        </w:rPr>
      </w:pPr>
    </w:p>
    <w:p>
      <w:pPr>
        <w:ind w:left="520" w:hanging="6"/>
        <w:spacing w:after="0" w:line="271" w:lineRule="auto"/>
        <w:tabs>
          <w:tab w:leader="none" w:pos="63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information technology environment;</w:t>
      </w:r>
    </w:p>
    <w:p>
      <w:pPr>
        <w:spacing w:after="0" w:line="145"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managing (i) our cybersecurity risk assessment processes, (ii) our security controls, and (iii) our response to cybersecurity incidents;</w:t>
      </w:r>
    </w:p>
    <w:p>
      <w:pPr>
        <w:spacing w:after="0" w:line="189"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controls;</w:t>
      </w:r>
    </w:p>
    <w:p>
      <w:pPr>
        <w:spacing w:after="0" w:line="189"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incident response personnel, and senior management;</w:t>
      </w:r>
    </w:p>
    <w:p>
      <w:pPr>
        <w:spacing w:after="0" w:line="189"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 and</w:t>
      </w:r>
    </w:p>
    <w:p>
      <w:pPr>
        <w:spacing w:after="0" w:line="189"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service providers, suppliers, and vendors that have access to our critical systems and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can be no assurance that our cybersecurity risk management program and processes, including our policies, controls or procedures, will be fully implemented, complied with or effective in protecting our systems and information.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(the Board) considers cybersecurity risk as part of its risk oversight function and the Audit Committee (the Committee) contributes to oversight of cybersecurity risks.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Board receives periodic reports from management on our cybersecurity risks. In addition, management updates the Committee, as necessary or appropriate, regarding any material cybersecurity incidents, as well as any incidents with lesser impact potential, as appropriate.</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Board may also receive briefings from management on our cyber risk management program, and may receive presentations on cybersecurity topics from our Chief Financial Officer (CFO) or external experts as part of the Board's continuing education on topics that impact public companies. Members of our management team, including our CFO, Head of Information Technology, General Counsel and our Vice President of Quality Assurance, are responsible for assessing and managing our material risks from cybersecurity threats. This cybersecurity management team has primary responsibility for our overall cybersecurity risk management program and oversees our retained external cybersecurity experts, which includes individuals with significant experience running or overseeing cybersecurity programs at similarly sized biotechnology organizations and navigating the associated risk landscape.</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cybersecurity management team supervises efforts to prevent, detect, mitigate, and remediate cybersecurity risks and incidents through various means, which may include briefings from cybersecurity experts;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corporate headquarters and laboratories are located at 343 Allerton Avenue, South San Francisco, California 94080, where we occupy approximately 10,900 square feet of office and lab space under a lease expiring on July 31, 2027, which contains a 5-year option to renew. We believe that our facilities are suitable and adequate for our current and foreseeable needs.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13, 2025, John Cesario and David Preka (the Plaintiffs) filed a civil action, pro se (i.e., acting on their own behalf rather than through an attorney), in the United States District Court for the Northern District of California (Case No. 4:25-cv-01510) (the Complaint) against the Company and its Board, certain of its executive officers, professional services and financial advisors, and industry analysts. The Plaintiffs seek compensatory and punitive damages, as well as fees and costs. The Complaint alleges violations of Section 10(b) of the Securities Exchange Act of 1934, as amended, and Rule 10b-5 promulgated thereunder, and Sections 11 and 17(a) of the Securities Act of 1933, as amended, along with other causes of action. The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all allegations asserted in the Complaint are wholly without merit, and intends to defend them vigorously.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trades on The Nasdaq Capital Market under the symbol “VTGN”.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Common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10, 2025, there were approximately 357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never paid or declared any cash dividends on our common stock since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See Item 12 of Part III of this Annual Report for information about our equity compensation plans, which information will be incorporated by reference to the information that will be contained in our proxy statement related to the 2025 Annual Meeting of Stockholders, which we intend to file with the SEC on or before July 29,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Repurchases of Equity Securities and Affiliated Purchasers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tem 6. [Reserved]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i w:val="1"/>
          <w:iCs w:val="1"/>
          <w:color w:val="auto"/>
        </w:rPr>
        <w:t>This Annual Report on Form 10-K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our ability to successfully complete ongoing or future clinical trials of our product candidates within estimated timelines or at all, receive regulatory approval or be commercially successful; our dependence on third-party collaborators for the development, manufacturing, regulatory approval, and/or commercialization of our product candidates and other aspects of our business, which are outside of our full control; the effect of regulation by the U.S. Food and Drug Administration (the FDA) and other domestic and foreign regulatory agencies; current and potential future healthcare reforms; our ability to obtain, maintain and enforce patents on our products if/or when we receive regulatory approval of any of our products; the impact of competitive products, product development, commercialization potential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and our Board of Directors (the Board) or disadvantageous to our stockholders.</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Moreover, the biopharmaceutical industry in which we operate is very competitive and rapidly changing. New challenges and risks emerge frequently. It is not possible for our management or Board to predict all challenges and risks we will face, nor can we assess the impact of all factors on our business or the extent to which any factor, or combination of factors, may cause actual results to differ materially from those contained in any forward-looking statements we may make in this Annual Report or otherwise. In light of these risks, challenges, uncertainties and assumptions, the future events and trends discussed in this Annual Report may not occur and actual results could differ materially and adversely from those anticipated or implied in the forward-looking statements.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Accordingly, you should not rely upon the forward-looking statements in this Annual Report as predictions of future events. The events and circumstances reflected in the forward-looking statements in this Annual Report may not be achieved or occur in part or at all. Although we believe that the expectations reflected in the forward-looking statements in this Annual Report are reasonable as of the date of this Annual Report, we cannot guarantee future results, levels of activity, performance or achievements. We are under no duty to update any of the forward-looking statements in this Annual Report after the date of this Annual Report or to conform the forward-looking statements to actual results or revised expectations. If we do update one or more of the forward-looking statements in this Annual Report, no inference should be drawn that we will make additional updates with respect to those or any other forward-looking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a late clinical-stage biopharmaceutical company leveraging a deep understanding of nose-to-brain neurocircuitry to develop and commercialize a new class of non-systemic intranasal product candidates called pherines. Our broad and diverse neuroscience pipeline currently consists of five clinical-stage pherine product candidates, each with a novel mechanism of action (MOA)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Our most advanced intranasal pherine product candidate is fasedienol, which is being investigated in our U.S. registration-directed PALISADE Program for the acute treatment of social anxiety disorder (SAD). In August 2023, we received and reported positive topline results from our PALISADE-2 Phase 3 trial of fasedienol for the acute treatment of SAD. The ongoing clinical trials in our PALISADE Program include our PALISADE-3 and PALISADE-4 Phase 3 trials, which are designed similarly to PALISADE-2, and a small exploratory Phase 2 repeat dose study (the Repeat Dose Study). Topline data for PALISADE-3 are expected in the fourth quarter of 2025 and topline results for PALISADE-4 and the Repeat Dose Study are expected in the first half of 2026. We believe either PALISADE-3 or PALISADE-4, if successful, together with the positive results from PALISADE-2, may establish substantial evidence of the effectiveness of fasedienol in support of a potential New Drug Application (NDA) submission to the U.S. FDA for the acute treatment of SAD. The FDA has granted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Fast Track designation for the investigation of fasedienol for the acute treatment of SAD. Fasedienol has the potential to be the first FDA-approved acute treatment of SAD and provide significant advantages relative to the current standard of care.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also reported positive results from an exploratory Phase 2A clinical trial for each of our next most advanced pherine product candidates, itruvone for treatment of major depressive disorder, and PH80 for both vasomotor symptoms (hot flashes) due to menopause and premenstrual dysphoric disorder (PMDD), as well as a pilot Phase 2A study of PH15 for improvement of psychomotor impairment due to mental fatigue and an exploratory Phase 2A study of PH284 for treatment of cancer cachexia.</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passionate about developing transformative treatment options with potential to meet clear and growing unmet needs and bring meaningful relief to patients underserved by the current standard of care for multiple highly prevalent indications, all while delivering long term value to our shareholders.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wholly-owned subsidiaries consist of Pherin Pharmaceuticals, Inc, a Delaware corporation (Pherin), which we acquired in February 2023, and Vistastem, Inc., a California corporation founded in 1998 (Vistastem).</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Sublicense and Other Revenue</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Sublicense and other revenue consist of revenue recognized under the AffaMed Agreement and Negotiation Agreement with Fuji Pharma. Revenue is recognized as identified performance obligations are satisfied.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date, our research and development expenses consist primarily of external and internal costs related to the development of our product candidates and development programs. Our research and development expenses primarily include:</w:t>
      </w:r>
    </w:p>
    <w:p>
      <w:pPr>
        <w:spacing w:after="0" w:line="156" w:lineRule="exact"/>
        <w:rPr>
          <w:sz w:val="20"/>
          <w:szCs w:val="20"/>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costs, including:</w:t>
      </w:r>
    </w:p>
    <w:p>
      <w:pPr>
        <w:spacing w:after="0" w:line="189"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planning, preparing for and conducting clinical trials, including investigator grants and site payments, and pass-through expenses and expenses incurred under agreements with CROs, central laboratories and other vendors and service providers engaged to conduct our trials;</w:t>
      </w:r>
    </w:p>
    <w:p>
      <w:pPr>
        <w:spacing w:after="0" w:line="156"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the discovery and preclinical development of our product candidates, including under agreements with third parties, such as consultants and CROs;</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consultants for chemistry, manufacturing, and control (CMC) development, and other manufacturing-related services;</w:t>
      </w:r>
    </w:p>
    <w:p>
      <w:pPr>
        <w:spacing w:after="0" w:line="199"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compounds for use in our nonclinical studies and clinical trials, including under agreements with third parties, such as consultants and third-party contract manufacturers;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development regulatory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costs, including:</w:t>
      </w:r>
    </w:p>
    <w:p>
      <w:pPr>
        <w:spacing w:after="0" w:line="1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related benefits, travel and share-based compensation expenses for employees engaged in research and development functions;</w:t>
      </w:r>
    </w:p>
    <w:p>
      <w:pPr>
        <w:spacing w:after="0" w:line="17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laboratory supplies and acquiring and developing preclinical study materials; and</w:t>
      </w:r>
    </w:p>
    <w:p>
      <w:pPr>
        <w:spacing w:after="0" w:line="19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expenses, which include allocated expenses for rent and maintenance of facilities, and supplies.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research and development expenses may vary significantly based on a wide variety of factors, such as:</w:t>
      </w:r>
    </w:p>
    <w:p>
      <w:pPr>
        <w:spacing w:after="0" w:line="189"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rate of progress, expense and results of our preclinical development activities and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trials required for regulatory approval;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sites included in each of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eligible patients;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that participate in the trials;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appropriate patients eligible for our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that patients receive during such clinical trials;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drop-out or discontinuation rates of patients;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additional safety monitoring requested by regulatory agencies;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patient participation in the trials and follow-up;</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phase of development of the product candidate;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the product candidate;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of any approvals from applicable regulatory authorities including the FDA and non-U.S. regulators;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 continued acceptable safety profile of our product candidates following approval, if any;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manufacturing our product candidates;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changing government regulation and regulatory guidance;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business interruptions to our operations or to those of the third parties with whom we work;</w:t>
      </w:r>
    </w:p>
    <w:p>
      <w:pPr>
        <w:spacing w:after="0" w:line="199"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on the financial markets, the global economy, the supply chain and our expenses due to pandemics or other epidemic diseases, geopolitical instability, inflation, rising interest rates and other factors; and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additional strategic collaborations or other arrangements.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the development of any of our product candidates could significantly change the costs and timing associated with the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March 31, 2025 and 2024</w:t>
            </w: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0"/>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periods indicated (in thousands):</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7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0" w:type="dxa"/>
            <w:vAlign w:val="bottom"/>
            <w:tcBorders>
              <w:bottom w:val="single" w:sz="8" w:color="auto"/>
            </w:tcBorders>
          </w:tcPr>
          <w:p>
            <w:pPr>
              <w:spacing w:after="0"/>
              <w:rPr>
                <w:sz w:val="24"/>
                <w:szCs w:val="24"/>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Sublicense and other revenue</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39,375</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20,022</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17,084</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14,063</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56,459</w:t>
            </w:r>
          </w:p>
        </w:tc>
        <w:tc>
          <w:tcPr>
            <w:tcW w:w="3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34,085</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(55,973)</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(33,021)</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1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(51,411)</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(29,358)</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Sublicense and Other Revenue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Sublicense and other revenue were $0.5 million and $1.1 million for the years ended March 31, 2025 and 2024, respectively. The decrease in sublicense and other revenue of $0.6 million is due to timing of revenue recognized under the AffaMed Agreement.</w:t>
      </w:r>
    </w:p>
    <w:p>
      <w:pPr>
        <w:spacing w:after="0" w:line="1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Absent the achievement of milestones under the AffaMed Agreement, or the execution of similar agreements in the future, if any, we expect sublicense and other revenue to stay consistent in future periods as we continue to recognize revenue under the AffaMed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for the years ended March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850"/>
        </w:trPr>
        <w:tc>
          <w:tcPr>
            <w:tcW w:w="1000" w:type="dxa"/>
            <w:vAlign w:val="bottom"/>
            <w:tcBorders>
              <w:top w:val="single" w:sz="8" w:color="0000FF"/>
            </w:tcBorders>
          </w:tcPr>
          <w:p>
            <w:pPr>
              <w:spacing w:after="0"/>
              <w:rPr>
                <w:sz w:val="24"/>
                <w:szCs w:val="24"/>
                <w:color w:val="auto"/>
              </w:rPr>
            </w:pPr>
          </w:p>
        </w:tc>
        <w:tc>
          <w:tcPr>
            <w:tcW w:w="65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8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and nonclinical studies and development expenses by program</w:t>
            </w: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Fasedienol</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w:t>
            </w:r>
          </w:p>
        </w:tc>
        <w:tc>
          <w:tcPr>
            <w:tcW w:w="34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180"/>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Itruvone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80"/>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AV-101</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3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71"/>
        </w:trPr>
        <w:tc>
          <w:tcPr>
            <w:tcW w:w="7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clinical and nonclinical studies and development expenses</w:t>
            </w: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24,995</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9,154</w:t>
            </w:r>
          </w:p>
        </w:tc>
      </w:tr>
      <w:tr>
        <w:trPr>
          <w:trHeight w:val="18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w:t>
            </w:r>
          </w:p>
        </w:tc>
      </w:tr>
      <w:tr>
        <w:trPr>
          <w:trHeight w:val="18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8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r>
      <w:tr>
        <w:trPr>
          <w:trHeight w:val="18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Occupancy and all other costs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w:t>
            </w:r>
          </w:p>
        </w:tc>
      </w:tr>
      <w:tr>
        <w:trPr>
          <w:trHeight w:val="171"/>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39,375</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20,022</w:t>
            </w:r>
          </w:p>
        </w:tc>
      </w:tr>
      <w:tr>
        <w:trPr>
          <w:trHeight w:val="20"/>
        </w:trPr>
        <w:tc>
          <w:tcPr>
            <w:tcW w:w="10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Research and development expense was $39.4 million and $20.0 million for the years ended March 31, 2025 and 2024, respectively. The increase of $19.4 million in research and development expense for the year ended March 31, 2025, as compared to the year ended March 31, 2024, was primarily due to an increase in expense of $15.8 million related to our U.S. registration-directed PALISADE Program for fasedienol for the acute treatment of SAD, including manufacturing, nonclinical studies and our PALISADE-3 and PALISADE-4 Phase 3 clinical trials and the Repeat Dose Study, as well as manufacturing and nonclinical studies to support our planned PH80 U.S. Investigational New Drug Application (IND) to facilitate further Phase 2 development for the treatment of VMS, and increase of $2.8 million in connection with the increased headcount, an increase in consulting and professional fees of $0.2 million, and an increase in occupancy and other costs of $0.5 million.</w:t>
      </w:r>
    </w:p>
    <w:p>
      <w:pPr>
        <w:spacing w:after="0" w:line="3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expect that our research and development expense may increase over the next fiscal year as we continue to advance our pherine product candidates through nonclinical studies, clinical trials, and expand third-party contract manufacturing and regulatory activities required to advance further research and development of our current pherine product candidates and additional pherine product candidates, maintain, expand, protect and enforce our intellectual property portfolio, and hire additional headcount. At this time, we cannot accurately estimate or know the nature, timing and costs of the efforts that will be necessary to complete the preclinical and clinical development of any pherine product candidates we may develop. A change in the outcome of any number of variables with respect to product candidates we may develop could significantly change the costs and timing associated with the development of that product candidate.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General and administrative expense was $17.1 million and $14.1 million for the years ended March 31, 2025 and 2024, respectively. The increase of $3.0 million in general and administrative expense for the year ended March 31, 2025, as compared to the year ended March 31, 2024, was primarily due to an increase in headcount and related costs of $1.8 million, as well as an increase in consulting and professional fees of $0.6 million.</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that our general and administrative expenses may increase substantially over the next fiscal year as we hire additional personnel to support the continued growth of our research and development, contract manufacturing and pre-commercialization operations and incur additional expenses associated with being a public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Other income was $4.6 million and $3.7 million for the years ended March 31, 2025 and 2024, respectively. The increase of $0.9 million was primarily related to an increase in interest rate return on our cash, cash equivalents, and marketable securities due to increased investment balances.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Since our inception, we have not generated any revenue from product sales and have incurred significant operating losses and negative cash flows from our operations. To date, as of March 31, 2025, we have financed our operations and technology acquisitions primarily through the issuance and sale of our equity securities for cash proceeds of approximately $340.4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the Pherin Acquisition, and in settlements of certain liabilities, including liabilities for professional services rendered to us or as compensation for such services.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May 2021, we entered into an Open Market Sale Agreement (the Sales Agreement) with Jefferies LLC (Jefferies) as sales agent, with respect to an at-the-market offering program (the ATM) under which we were permitted, at our option, to offer and sell, from time to time, shares of our common stock having an aggregate offering price of up to $75.0 million through Jefferies as our sales agent. In February 2024, the aggregate gross proceed available under the Sales Agreement was increased to $100 million. During the years ended March 31, 2025 and 2024, we sold an aggregate of 1,108,587 and 4,698,495 shares, respectively, under the Sales Agreement, for net proceeds of $3.0 million and $36.2, respectively, after sales agent commissions. We pay Jefferies a commission of up to three percent (3.0%) of the aggregate gross proceeds from any sales under the Sales Agreement. In addition, during the year ended March 31, 2024, we received net proceeds of approximately $93.5 million from the October 2023 Public Offering and $1.5 million from Fuji Pharma under the Negotiation Agreement.</w:t>
      </w:r>
    </w:p>
    <w:p>
      <w:pPr>
        <w:spacing w:after="0" w:line="1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2025 and 2024, we had cash, cash equivalents, and marketable securities of $80.5 million and $119.2 million, respectively. As of June 17, 2025, the issuance date of the consolidated financial statements in this Annual Report as of and for the year ended March 31, 2025, there is uncertainty about whether our combined cash, cash equivalents, and marketable securities will be sufficient to fund operations beyond twelve months from the issuance date of these consolidated financial statements and therefore we concluded that substantial doubt existed about our ability to continue as a going concern.</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When necessary and/or advantageous, we will seek additional capital to fund our planned operations through (i) sales of our equity and/or debt securities in one or more public offerings and/or private placements, including sales of our securities under the Sales Agreement, (ii) non-dilutive government grants and research awards and/or (iii) non-dilutive strategic partnering collaborations to advance development and commercialization of our product candidates. However, no assurance can be provided that any such sales of our securities, awards, agreements or collaborations will occur in the future. While we may make additional sales of our equity securities, we do not have an obligation to do so.</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nonclinical, and pre-commercialization programs.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Notwithstanding the foregoing, there can be no assurance that future financings will be available to us in sufficient amounts, in a timely manner, or on terms acceptable to us, if at all, or that current or future development and commercialization collaborations will generate revenue from future potential milestone payments or otherwise.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818"/>
        </w:trPr>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5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0"/>
        </w:trPr>
        <w:tc>
          <w:tcPr>
            <w:tcW w:w="6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cash and cash equivalents for the fiscal years stated (in thousands):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2"/>
        </w:trPr>
        <w:tc>
          <w:tcPr>
            <w:tcW w:w="10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6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(42,097)</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(25,813)</w:t>
            </w:r>
          </w:p>
        </w:tc>
      </w:tr>
      <w:tr>
        <w:trPr>
          <w:trHeight w:val="18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60" w:type="dxa"/>
            <w:vAlign w:val="bottom"/>
          </w:tcPr>
          <w:p>
            <w:pPr>
              <w:spacing w:after="0"/>
              <w:rPr>
                <w:sz w:val="15"/>
                <w:szCs w:val="15"/>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(13,148)</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3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128,402</w:t>
            </w:r>
          </w:p>
        </w:tc>
      </w:tr>
      <w:tr>
        <w:trPr>
          <w:trHeight w:val="171"/>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460" w:type="dxa"/>
            <w:vAlign w:val="bottom"/>
          </w:tcPr>
          <w:p>
            <w:pPr>
              <w:spacing w:after="0"/>
              <w:rPr>
                <w:sz w:val="14"/>
                <w:szCs w:val="14"/>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(52,035)</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102,528</w:t>
            </w:r>
          </w:p>
        </w:tc>
      </w:tr>
      <w:tr>
        <w:trPr>
          <w:trHeight w:val="180"/>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119,166</w:t>
            </w:r>
          </w:p>
        </w:tc>
        <w:tc>
          <w:tcPr>
            <w:tcW w:w="3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w:t>
            </w:r>
          </w:p>
        </w:tc>
      </w:tr>
      <w:tr>
        <w:trPr>
          <w:trHeight w:val="171"/>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60" w:type="dxa"/>
            <w:vAlign w:val="bottom"/>
            <w:tcBorders>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67,131</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119,166</w:t>
            </w:r>
          </w:p>
        </w:tc>
      </w:tr>
      <w:tr>
        <w:trPr>
          <w:trHeight w:val="20"/>
        </w:trPr>
        <w:tc>
          <w:tcPr>
            <w:tcW w:w="10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for the year ended March 31, 2025 was $42.1 million, consisting primarily of our net loss of $51.4 million, adjusted for $4.6 million of non-cash charges primarily related to stock-based compensation expense and amortization of our operating lease right-of-use asset, and $4.8 million for net changes in operating assets and liabilities.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for the year ended March 31, 2024 was $25.8 million, consisting primarily of our net loss of $29.4 million, adjusted for $2.8 million of non-cash charges primarily related to stock-based compensation expense and amortization of our operating lease right-of-use asset, and $0.8 million for net changes in operating assets and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for the year ended March 31, 2025 was $13.1 million, consisting of purchases of marketable securities and property and equipment, partially offset by the sale and maturity of marketable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 for the year ended March 31, 2024 was $0.1 million, consisting of purchases of property and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during the year ended March 31, 2025 was $3.2 million. consisting primarily of net proceeds from the sale of shares of our common stock in ATM transactions under the Sales Agreement.</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Net cash provided by financing activities during the year ended March 31, 2024 was $128.4 million. This consisted primarily of net proceeds of $93.5 resulting from the October 2023 Public Offering, net proceeds of $35.9 million resulting from the sale of shares of our common stock under the Sales Agreement, partially offset by the repayment of notes payable of notes payable of 1.0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Based on our current operating plan, we believe that our existing cash, cash equivalents, and marketable securities will not be sufficient to fund our operations beyond the next twelve months from the date of this Annual Report. We anticipate that we will continue to seek additional funding, though the precise timing and nature of such additional funding may prove uncertain. Our forecast of the period of time through which our financial resources will be adequate to support our operations is a forward-looking statement that involves risks and uncertainties, and actual results could vary materially.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above. We have based this estimate on assumptions that may prove to be wrong, and we could deplete our capital resources sooner than we expect. Additionally, the process of conducting nonclinical studies and testing product candidates in clinical trials is costly, and the timing of progress and expenses in these studies and trials is uncertain.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71"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type, number, scope, results, costs and timing of, our ongoing and planned nonclinical studies and clinical trials of existing product candidates or clinical trials of other potential product candidates we may choose to pursue in the future, including based on feedback received from regulatory authorities;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current or future product candidates, including commercial scale manufacturing if any product candidate is approved;</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current or future product candidates;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and enforcing our patents and other intellectual property rights;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 including enhanced internal controls over financial reporting;</w:t>
      </w:r>
    </w:p>
    <w:p>
      <w:pPr>
        <w:spacing w:after="0" w:line="16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current or future product candidate is approved, and should we decide to commercialize them on our own;</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payers and adequate market share and revenue for any approved products;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any products or technologies that we may in-license or acquire; and</w:t>
      </w:r>
    </w:p>
    <w:p>
      <w:pPr>
        <w:spacing w:after="0" w:line="16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issues with any of the above, including that the risk of each may be exacerbated any future pandemics or epidemic diseases, potential geopolitical instability and war, inflation or rising interest rates.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and likely will,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lease our corporate office and laboratory space in South San Francisco, California. As of March 31, 2025, total future aggregate operating lease commitments were $1.7 million, with approximately $0.7 million due during the year ending March 31, 2026, and the remaining due in periods ending March 31, 2027 through 2028. These obligations are further described in Note 5 to our audited consolidated financial statements.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enter into agreements in the normal course of business with certain vendors for the provision of goods and services, which includes third-party contract manufacturing services with CDMOs, development services with CROs, and research and development services from other industry consultants.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consolidated financial statements, which have been prepared in accordance with U.S. Generally Accepted Accounting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Principles (GAAP). The preparation of these consolidated financial statements requires us to make estimates and judgments that affect the reported amounts of assets, liabilities, revenue and expenses and the disclosure of contingent assets and liabilities in our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Note 2 to our Consolidated Financial Statements included elsewhere in this Annual Report, we believe the following accounting estimate to be most critical to the preparation of our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 Prepaids, and Accruals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of external and internal costs associated with our research and development activities, including its discovery and research efforts and the manufacturing, nonclinical and clinical development of our neuroscience product candidates. Research and development costs are expensed in the period incurred.</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entered into various research and development contracts with CROs, CDMOs, clinical sites and other vendors and consultants.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We record accruals for estimated costs incurred for ongoing research and development activities. When evaluating the adequacy of the accrued liabilities, we analyze progress of the services, including the phase or completion of events, invoices received and contracted costs. We hold discussions with applicable personnel and outside service providers as to the progress of our manufacturing, nonclinical studies, clinical trials, or contracted services are completed. Significant judgments and estimates may be made in assessing the phase or completion of events to determine the expense and the resulting prepaid or accrued balances at the end of any reporting period. Actual results could differ from our estimates. Non-refundable advance payments for goods and services, including fees for process development, are deferred and recognized as expense in the period that the related goods are consumed, or services are performed.</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Costs incurred in obtaining product or technology licenses are charged immediately to research and development expense if, at acquisition, the product or technology licensed has not achieved regulatory approval or reached technical feasibility and has no alternative future uses.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our financial condition and results of operations is disclosed in Note 2 to our audited Consolidated Financial Statements appearing elsewhere 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in this section are not required because we qualify as a "smaller reporting company," as such term is defined in Rule 12b-2 under the Exchange Act.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2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18"/>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6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r>
      <w:tr>
        <w:trPr>
          <w:trHeight w:val="387"/>
        </w:trPr>
        <w:tc>
          <w:tcPr>
            <w:tcW w:w="100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7400" w:type="dxa"/>
            <w:vAlign w:val="bottom"/>
            <w:gridSpan w:val="2"/>
            <w:shd w:val="clear" w:color="auto" w:fill="CCEEFF"/>
          </w:tcPr>
          <w:p>
            <w:pPr>
              <w:jc w:val="center"/>
              <w:ind w:left="6189"/>
              <w:spacing w:after="0"/>
              <w:rPr>
                <w:sz w:val="20"/>
                <w:szCs w:val="20"/>
                <w:color w:val="auto"/>
              </w:rPr>
            </w:pPr>
            <w:r>
              <w:rPr>
                <w:rFonts w:ascii="Times New Roman" w:cs="Times New Roman" w:eastAsia="Times New Roman" w:hAnsi="Times New Roman"/>
                <w:sz w:val="14"/>
                <w:szCs w:val="14"/>
                <w:color w:val="auto"/>
                <w:w w:val="99"/>
              </w:rPr>
              <w:t>92</w:t>
            </w:r>
          </w:p>
        </w:tc>
      </w:tr>
      <w:tr>
        <w:trPr>
          <w:trHeight w:val="19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7400" w:type="dxa"/>
            <w:vAlign w:val="bottom"/>
            <w:gridSpan w:val="2"/>
          </w:tcPr>
          <w:p>
            <w:pPr>
              <w:jc w:val="center"/>
              <w:ind w:left="6189"/>
              <w:spacing w:after="0"/>
              <w:rPr>
                <w:sz w:val="20"/>
                <w:szCs w:val="20"/>
                <w:color w:val="auto"/>
              </w:rPr>
            </w:pPr>
            <w:r>
              <w:rPr>
                <w:rFonts w:ascii="Times New Roman" w:cs="Times New Roman" w:eastAsia="Times New Roman" w:hAnsi="Times New Roman"/>
                <w:sz w:val="14"/>
                <w:szCs w:val="14"/>
                <w:color w:val="auto"/>
                <w:w w:val="99"/>
              </w:rPr>
              <w:t>94</w:t>
            </w:r>
          </w:p>
        </w:tc>
      </w:tr>
      <w:tr>
        <w:trPr>
          <w:trHeight w:val="20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w:t>
            </w:r>
          </w:p>
        </w:tc>
        <w:tc>
          <w:tcPr>
            <w:tcW w:w="7400" w:type="dxa"/>
            <w:vAlign w:val="bottom"/>
            <w:gridSpan w:val="2"/>
            <w:shd w:val="clear" w:color="auto" w:fill="CCEEFF"/>
          </w:tcPr>
          <w:p>
            <w:pPr>
              <w:jc w:val="center"/>
              <w:ind w:left="6189"/>
              <w:spacing w:after="0"/>
              <w:rPr>
                <w:sz w:val="20"/>
                <w:szCs w:val="20"/>
                <w:color w:val="auto"/>
              </w:rPr>
            </w:pPr>
            <w:r>
              <w:rPr>
                <w:rFonts w:ascii="Times New Roman" w:cs="Times New Roman" w:eastAsia="Times New Roman" w:hAnsi="Times New Roman"/>
                <w:sz w:val="14"/>
                <w:szCs w:val="14"/>
                <w:color w:val="auto"/>
                <w:w w:val="99"/>
              </w:rPr>
              <w:t>95</w:t>
            </w:r>
          </w:p>
        </w:tc>
      </w:tr>
      <w:tr>
        <w:trPr>
          <w:trHeight w:val="19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tc>
        <w:tc>
          <w:tcPr>
            <w:tcW w:w="7400" w:type="dxa"/>
            <w:vAlign w:val="bottom"/>
            <w:gridSpan w:val="2"/>
          </w:tcPr>
          <w:p>
            <w:pPr>
              <w:jc w:val="center"/>
              <w:ind w:left="6189"/>
              <w:spacing w:after="0"/>
              <w:rPr>
                <w:sz w:val="20"/>
                <w:szCs w:val="20"/>
                <w:color w:val="auto"/>
              </w:rPr>
            </w:pPr>
            <w:r>
              <w:rPr>
                <w:rFonts w:ascii="Times New Roman" w:cs="Times New Roman" w:eastAsia="Times New Roman" w:hAnsi="Times New Roman"/>
                <w:sz w:val="14"/>
                <w:szCs w:val="14"/>
                <w:color w:val="auto"/>
                <w:w w:val="99"/>
              </w:rPr>
              <w:t>96</w:t>
            </w:r>
          </w:p>
        </w:tc>
      </w:tr>
      <w:tr>
        <w:trPr>
          <w:trHeight w:val="20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7400" w:type="dxa"/>
            <w:vAlign w:val="bottom"/>
            <w:gridSpan w:val="2"/>
            <w:shd w:val="clear" w:color="auto" w:fill="CCEEFF"/>
          </w:tcPr>
          <w:p>
            <w:pPr>
              <w:jc w:val="center"/>
              <w:ind w:left="6189"/>
              <w:spacing w:after="0"/>
              <w:rPr>
                <w:sz w:val="20"/>
                <w:szCs w:val="20"/>
                <w:color w:val="auto"/>
              </w:rPr>
            </w:pPr>
            <w:r>
              <w:rPr>
                <w:rFonts w:ascii="Times New Roman" w:cs="Times New Roman" w:eastAsia="Times New Roman" w:hAnsi="Times New Roman"/>
                <w:sz w:val="14"/>
                <w:szCs w:val="14"/>
                <w:color w:val="auto"/>
                <w:w w:val="99"/>
              </w:rPr>
              <w:t>97</w:t>
            </w:r>
          </w:p>
        </w:tc>
      </w:tr>
      <w:tr>
        <w:trPr>
          <w:trHeight w:val="19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7400" w:type="dxa"/>
            <w:vAlign w:val="bottom"/>
            <w:gridSpan w:val="2"/>
          </w:tcPr>
          <w:p>
            <w:pPr>
              <w:jc w:val="center"/>
              <w:ind w:left="6189"/>
              <w:spacing w:after="0"/>
              <w:rPr>
                <w:sz w:val="20"/>
                <w:szCs w:val="20"/>
                <w:color w:val="auto"/>
              </w:rPr>
            </w:pPr>
            <w:r>
              <w:rPr>
                <w:rFonts w:ascii="Times New Roman" w:cs="Times New Roman" w:eastAsia="Times New Roman" w:hAnsi="Times New Roman"/>
                <w:sz w:val="14"/>
                <w:szCs w:val="14"/>
                <w:color w:val="auto"/>
                <w:w w:val="99"/>
              </w:rPr>
              <w:t>98</w:t>
            </w:r>
          </w:p>
        </w:tc>
      </w:tr>
      <w:tr>
        <w:trPr>
          <w:trHeight w:val="721"/>
        </w:trPr>
        <w:tc>
          <w:tcPr>
            <w:tcW w:w="10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260" w:type="dxa"/>
            <w:vAlign w:val="bottom"/>
          </w:tcPr>
          <w:p>
            <w:pPr>
              <w:jc w:val="right"/>
              <w:ind w:right="4349"/>
              <w:spacing w:after="0"/>
              <w:rPr>
                <w:sz w:val="20"/>
                <w:szCs w:val="20"/>
                <w:color w:val="auto"/>
              </w:rPr>
            </w:pPr>
            <w:r>
              <w:rPr>
                <w:rFonts w:ascii="Times New Roman" w:cs="Times New Roman" w:eastAsia="Times New Roman" w:hAnsi="Times New Roman"/>
                <w:sz w:val="14"/>
                <w:szCs w:val="14"/>
                <w:color w:val="auto"/>
              </w:rPr>
              <w:t>91</w:t>
            </w:r>
          </w:p>
        </w:tc>
        <w:tc>
          <w:tcPr>
            <w:tcW w:w="114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6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Vistagen Therapeutics,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Vistagen Therapeutics, Inc. (the Company) as of March 31, 2025, the related consolidated statement of operations and comprehensive loss, stockholders’ equity, and cash flows for the period ended March 31, 2025, and the related notes (collectively, the consolidated financial statements). In our opinion, the consolidated financial statements present fairly, in all material respects, the financial position of the Company as of March 31, 2025, and the results of its operations and its cash flows for the year period ended March 31, 2025, in conformity with U.S. generally accepted accounting principles.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2 to the consolidated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5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/s/ KPMG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u w:val="single" w:color="auto"/>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Vistagen Therapeutics, Inc.</w:t>
      </w:r>
    </w:p>
    <w:p>
      <w:pPr>
        <w:spacing w:after="0"/>
        <w:rPr>
          <w:sz w:val="20"/>
          <w:szCs w:val="20"/>
          <w:color w:val="auto"/>
        </w:rPr>
      </w:pPr>
      <w:r>
        <w:rPr>
          <w:rFonts w:ascii="Times New Roman" w:cs="Times New Roman" w:eastAsia="Times New Roman" w:hAnsi="Times New Roman"/>
          <w:sz w:val="14"/>
          <w:szCs w:val="14"/>
          <w:color w:val="auto"/>
        </w:rPr>
        <w:t>South San Francisco,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Vistagen Therapeutics, Inc. (the “Company”) as of March 31, 2024, the related consolidated statements of operations and comprehensive loss, cash flows, and stockholders’ equity for the year then ended, and the related notes (collectively referred to as the “consolidated financial statements”). In our opinion, the consolidated financial statements present fairly, in all material respects, the financial position of the Company as of March 31, 2024, and the results of its operations and its cash flows for the year then ended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began serving as the Company's auditor in 2006. We became the predecessor auditor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11, 2024</w:t>
      </w:r>
    </w:p>
    <w:p>
      <w:pPr>
        <w:spacing w:after="0"/>
        <w:rPr>
          <w:sz w:val="20"/>
          <w:szCs w:val="20"/>
          <w:color w:val="auto"/>
        </w:rPr>
      </w:pPr>
      <w:r>
        <w:rPr>
          <w:rFonts w:ascii="Times New Roman" w:cs="Times New Roman" w:eastAsia="Times New Roman" w:hAnsi="Times New Roman"/>
          <w:sz w:val="14"/>
          <w:szCs w:val="14"/>
          <w:color w:val="auto"/>
        </w:rPr>
        <w:t>PCAOB ID Number 100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80"/>
          </w:cols>
          <w:pgMar w:left="300" w:top="29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Marketable securities</w:t>
      </w:r>
    </w:p>
    <w:p>
      <w:pPr>
        <w:spacing w:after="0" w:line="41" w:lineRule="exact"/>
        <w:rPr>
          <w:sz w:val="20"/>
          <w:szCs w:val="20"/>
          <w:color w:val="auto"/>
        </w:rPr>
      </w:pPr>
    </w:p>
    <w:p>
      <w:pPr>
        <w:ind w:left="20" w:right="840" w:firstLine="175"/>
        <w:spacing w:after="0" w:line="308" w:lineRule="auto"/>
        <w:rPr>
          <w:sz w:val="20"/>
          <w:szCs w:val="20"/>
          <w:color w:val="auto"/>
        </w:rPr>
      </w:pPr>
      <w:r>
        <w:rPr>
          <w:rFonts w:ascii="Times New Roman" w:cs="Times New Roman" w:eastAsia="Times New Roman" w:hAnsi="Times New Roman"/>
          <w:sz w:val="14"/>
          <w:szCs w:val="14"/>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 - operating lease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amounts)</w:t>
      </w: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22860</wp:posOffset>
            </wp:positionV>
            <wp:extent cx="199453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94535" cy="6985"/>
                    </a:xfrm>
                    <a:prstGeom prst="rect">
                      <a:avLst/>
                    </a:prstGeom>
                    <a:noFill/>
                  </pic:spPr>
                </pic:pic>
              </a:graphicData>
            </a:graphic>
          </wp:anchor>
        </w:drawing>
      </w:r>
    </w:p>
    <w:p>
      <w:pPr>
        <w:spacing w:after="0" w:line="31"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93"/>
        </w:trPr>
        <w:tc>
          <w:tcPr>
            <w:tcW w:w="3100" w:type="dxa"/>
            <w:vAlign w:val="bottom"/>
            <w:gridSpan w:val="2"/>
          </w:tcPr>
          <w:p>
            <w:pPr>
              <w:jc w:val="right"/>
              <w:ind w:right="2580"/>
              <w:spacing w:after="0"/>
              <w:rPr>
                <w:sz w:val="20"/>
                <w:szCs w:val="20"/>
                <w:color w:val="auto"/>
              </w:rPr>
            </w:pPr>
            <w:r>
              <w:rPr>
                <w:rFonts w:ascii="Times New Roman" w:cs="Times New Roman" w:eastAsia="Times New Roman" w:hAnsi="Times New Roman"/>
                <w:sz w:val="14"/>
                <w:szCs w:val="14"/>
                <w:b w:val="1"/>
                <w:bCs w:val="1"/>
                <w:color w:val="auto"/>
                <w:w w:val="95"/>
              </w:rPr>
              <w:t>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3"/>
        </w:trPr>
        <w:tc>
          <w:tcPr>
            <w:tcW w:w="3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67,131</w:t>
            </w:r>
          </w:p>
        </w:tc>
        <w:tc>
          <w:tcPr>
            <w:tcW w:w="220" w:type="dxa"/>
            <w:vAlign w:val="bottom"/>
          </w:tcPr>
          <w:p>
            <w:pPr>
              <w:spacing w:after="0"/>
              <w:rPr>
                <w:sz w:val="24"/>
                <w:szCs w:val="2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119,166</w:t>
            </w:r>
          </w:p>
        </w:tc>
      </w:tr>
      <w:tr>
        <w:trPr>
          <w:trHeight w:val="202"/>
        </w:trPr>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2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187"/>
        </w:trPr>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82,076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120,672</w:t>
            </w:r>
          </w:p>
        </w:tc>
      </w:tr>
      <w:tr>
        <w:trPr>
          <w:trHeight w:val="202"/>
        </w:trPr>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02"/>
        </w:trPr>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207"/>
        </w:trPr>
        <w:tc>
          <w:tcPr>
            <w:tcW w:w="2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92"/>
        </w:trPr>
        <w:tc>
          <w:tcPr>
            <w:tcW w:w="3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84,341</w:t>
            </w:r>
          </w:p>
        </w:tc>
        <w:tc>
          <w:tcPr>
            <w:tcW w:w="22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123,653</w:t>
            </w:r>
          </w:p>
        </w:tc>
      </w:tr>
      <w:tr>
        <w:trPr>
          <w:trHeight w:val="20"/>
        </w:trPr>
        <w:tc>
          <w:tcPr>
            <w:tcW w:w="2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-1191895</wp:posOffset>
            </wp:positionV>
            <wp:extent cx="716153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-935990</wp:posOffset>
            </wp:positionV>
            <wp:extent cx="71615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-680085</wp:posOffset>
            </wp:positionV>
            <wp:extent cx="7161530"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-417195</wp:posOffset>
            </wp:positionV>
            <wp:extent cx="716153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-161290</wp:posOffset>
            </wp:positionV>
            <wp:extent cx="7161530" cy="147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380" w:space="720"/>
            <w:col w:w="7180"/>
          </w:cols>
          <w:pgMar w:left="300" w:top="294" w:right="31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1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96"/>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r>
      <w:tr>
        <w:trPr>
          <w:trHeight w:val="207"/>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revenue - current portion</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96"/>
        </w:trPr>
        <w:tc>
          <w:tcPr>
            <w:tcW w:w="8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Operating lease liability - current portion</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w:t>
            </w: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 non-current portion</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r>
      <w:tr>
        <w:trPr>
          <w:trHeight w:val="20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 non-current portion</w:t>
            </w: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13,951</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9,367</w:t>
            </w:r>
          </w:p>
        </w:tc>
      </w:tr>
      <w:tr>
        <w:trPr>
          <w:trHeight w:val="20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1"/>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$0.001 par value; 10,000,000 shares authorized at March 31, 2025 and March 31, 2024; no shares outstanding at March 31,</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 and March 31, 2024</w:t>
            </w:r>
          </w:p>
        </w:tc>
        <w:tc>
          <w:tcPr>
            <w:tcW w:w="4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$0.001 par value; 325,000,000 shares authorized at March 31, 2025 and March 31, 2024; 29,001,481 and 27,029,731 shares</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0"/>
        </w:trPr>
        <w:tc>
          <w:tcPr>
            <w:tcW w:w="8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issued at March 31, 2025 and March 31, 2024, respectively</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7"/>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481,956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474,441</w:t>
            </w:r>
          </w:p>
        </w:tc>
      </w:tr>
      <w:tr>
        <w:trPr>
          <w:trHeight w:val="196"/>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Treasury stock, at cost, 4,522 shares of common stock held at March 31, 2025 and March 31, 2024</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r>
      <w:tr>
        <w:trPr>
          <w:trHeight w:val="207"/>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gain</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(407,632)</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(356,214)</w:t>
            </w:r>
          </w:p>
        </w:tc>
      </w:tr>
      <w:tr>
        <w:trPr>
          <w:trHeight w:val="192"/>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4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70,390</w:t>
            </w:r>
          </w:p>
        </w:tc>
        <w:tc>
          <w:tcPr>
            <w:tcW w:w="2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114,286</w:t>
            </w:r>
          </w:p>
        </w:tc>
      </w:tr>
      <w:tr>
        <w:trPr>
          <w:trHeight w:val="198"/>
        </w:trPr>
        <w:tc>
          <w:tcPr>
            <w:tcW w:w="8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84,341</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123,653</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801"/>
        </w:trPr>
        <w:tc>
          <w:tcPr>
            <w:tcW w:w="100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6140" w:type="dxa"/>
            <w:vAlign w:val="bottom"/>
            <w:gridSpan w:val="2"/>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VISTAGEN THERAPEUTICS, INC.</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140" w:type="dxa"/>
            <w:vAlign w:val="bottom"/>
            <w:gridSpan w:val="2"/>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140" w:type="dxa"/>
            <w:vAlign w:val="bottom"/>
            <w:gridSpan w:val="2"/>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25"/>
        </w:trPr>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6"/>
                <w:szCs w:val="16"/>
                <w:color w:val="auto"/>
              </w:rPr>
            </w:pPr>
          </w:p>
        </w:tc>
      </w:tr>
      <w:tr>
        <w:trPr>
          <w:trHeight w:val="22"/>
        </w:trPr>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2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5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196"/>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Sublicense and other revenue</w:t>
            </w:r>
          </w:p>
        </w:tc>
        <w:tc>
          <w:tcPr>
            <w:tcW w:w="61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98"/>
        </w:trPr>
        <w:tc>
          <w:tcPr>
            <w:tcW w:w="27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5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7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20,022</w:t>
            </w:r>
          </w:p>
        </w:tc>
      </w:tr>
      <w:tr>
        <w:trPr>
          <w:trHeight w:val="196"/>
        </w:trPr>
        <w:tc>
          <w:tcPr>
            <w:tcW w:w="2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17,084</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14,063</w:t>
            </w:r>
          </w:p>
        </w:tc>
      </w:tr>
      <w:tr>
        <w:trPr>
          <w:trHeight w:val="192"/>
        </w:trPr>
        <w:tc>
          <w:tcPr>
            <w:tcW w:w="2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2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56,459</w:t>
            </w:r>
          </w:p>
        </w:tc>
        <w:tc>
          <w:tcPr>
            <w:tcW w:w="2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34,085</w:t>
            </w:r>
          </w:p>
        </w:tc>
      </w:tr>
      <w:tr>
        <w:trPr>
          <w:trHeight w:val="192"/>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(55,973)</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(33,021)</w:t>
            </w:r>
          </w:p>
        </w:tc>
      </w:tr>
      <w:tr>
        <w:trPr>
          <w:trHeight w:val="207"/>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5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income, net</w:t>
            </w:r>
          </w:p>
        </w:tc>
        <w:tc>
          <w:tcPr>
            <w:tcW w:w="5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202"/>
        </w:trPr>
        <w:tc>
          <w:tcPr>
            <w:tcW w:w="2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92"/>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(51,411)</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(29,358)</w:t>
            </w:r>
          </w:p>
        </w:tc>
      </w:tr>
      <w:tr>
        <w:trPr>
          <w:trHeight w:val="202"/>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5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1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20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61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61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(51,413)</w:t>
            </w:r>
          </w:p>
        </w:tc>
        <w:tc>
          <w:tcPr>
            <w:tcW w:w="20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5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
        </w:trPr>
        <w:tc>
          <w:tcPr>
            <w:tcW w:w="7960" w:type="dxa"/>
            <w:vAlign w:val="bottom"/>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4"/>
        </w:trPr>
        <w:tc>
          <w:tcPr>
            <w:tcW w:w="89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basic and diluted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30,877,029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19,354,500</w:t>
            </w:r>
          </w:p>
        </w:tc>
      </w:tr>
      <w:tr>
        <w:trPr>
          <w:trHeight w:val="20"/>
        </w:trPr>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920" w:type="dxa"/>
            <w:vAlign w:val="bottom"/>
          </w:tcPr>
          <w:p>
            <w:pPr>
              <w:spacing w:after="0"/>
              <w:rPr>
                <w:sz w:val="11"/>
                <w:szCs w:val="11"/>
                <w:color w:val="auto"/>
              </w:rPr>
            </w:pPr>
          </w:p>
        </w:tc>
        <w:tc>
          <w:tcPr>
            <w:tcW w:w="18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6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12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1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0"/>
                <w:szCs w:val="10"/>
                <w:color w:val="auto"/>
              </w:rPr>
            </w:pPr>
          </w:p>
        </w:tc>
        <w:tc>
          <w:tcPr>
            <w:tcW w:w="1080" w:type="dxa"/>
            <w:vAlign w:val="bottom"/>
          </w:tcPr>
          <w:p>
            <w:pPr>
              <w:jc w:val="center"/>
              <w:ind w:right="123"/>
              <w:spacing w:after="0" w:line="12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7,315,583</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342,893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(3,968)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(326,852)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Sale of common stock pursuant to 2019 Employee Stock</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Open Market Sale</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Agreement, net of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4,698,495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and pre-funded warrants through</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public offering, net of issuance costs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15,010,810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93,464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(29,362)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27,029,731</w:t>
            </w:r>
          </w:p>
        </w:tc>
        <w:tc>
          <w:tcPr>
            <w:tcW w:w="1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90"/>
              </w:rPr>
              <w:t>27</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474,441</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(3,968)</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(356,214)</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114,286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Sale of common stock pursuant to 2019 Employee Stock</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74,804</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gain on marketable securities available-for-sale, net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5</w:t>
            </w:r>
          </w:p>
        </w:tc>
        <w:tc>
          <w:tcPr>
            <w:tcW w:w="0" w:type="dxa"/>
            <w:vAlign w:val="bottom"/>
          </w:tcPr>
          <w:p>
            <w:pPr>
              <w:spacing w:after="0"/>
              <w:rPr>
                <w:sz w:val="1"/>
                <w:szCs w:val="1"/>
                <w:color w:val="auto"/>
              </w:rPr>
            </w:pPr>
          </w:p>
        </w:tc>
      </w:tr>
      <w:tr>
        <w:trPr>
          <w:trHeight w:val="14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Open Market Sale</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Agreement, net of issuance costs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1,108,587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Pre-Funded</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788,359</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(51,418)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29,001,481</w:t>
            </w: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481,956</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(3,968)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(407,632)</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70,390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4"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801"/>
        </w:trPr>
        <w:tc>
          <w:tcPr>
            <w:tcW w:w="1000" w:type="dxa"/>
            <w:vAlign w:val="bottom"/>
            <w:tcBorders>
              <w:top w:val="single" w:sz="8" w:color="0000FF"/>
            </w:tcBorders>
          </w:tcPr>
          <w:p>
            <w:pPr>
              <w:spacing w:after="0"/>
              <w:rPr>
                <w:sz w:val="24"/>
                <w:szCs w:val="24"/>
                <w:color w:val="auto"/>
              </w:rPr>
            </w:pPr>
          </w:p>
        </w:tc>
        <w:tc>
          <w:tcPr>
            <w:tcW w:w="7080" w:type="dxa"/>
            <w:vAlign w:val="bottom"/>
          </w:tcPr>
          <w:p>
            <w:pPr>
              <w:jc w:val="center"/>
              <w:ind w:left="2129"/>
              <w:spacing w:after="0"/>
              <w:rPr>
                <w:sz w:val="20"/>
                <w:szCs w:val="20"/>
                <w:color w:val="auto"/>
              </w:rPr>
            </w:pPr>
            <w:r>
              <w:rPr>
                <w:rFonts w:ascii="Times New Roman" w:cs="Times New Roman" w:eastAsia="Times New Roman" w:hAnsi="Times New Roman"/>
                <w:sz w:val="14"/>
                <w:szCs w:val="14"/>
                <w:b w:val="1"/>
                <w:bCs w:val="1"/>
                <w:color w:val="auto"/>
              </w:rPr>
              <w:t>VISTAGEN THERAPEUTICS, INC.</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7080" w:type="dxa"/>
            <w:vAlign w:val="bottom"/>
          </w:tcPr>
          <w:p>
            <w:pPr>
              <w:jc w:val="center"/>
              <w:ind w:left="2129"/>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CASH FLOWS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7080" w:type="dxa"/>
            <w:vAlign w:val="bottom"/>
          </w:tcPr>
          <w:p>
            <w:pPr>
              <w:jc w:val="center"/>
              <w:ind w:left="21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7"/>
        </w:trPr>
        <w:tc>
          <w:tcPr>
            <w:tcW w:w="10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March 31,</w:t>
            </w:r>
          </w:p>
        </w:tc>
        <w:tc>
          <w:tcPr>
            <w:tcW w:w="900" w:type="dxa"/>
            <w:vAlign w:val="bottom"/>
            <w:tcBorders>
              <w:bottom w:val="single" w:sz="8" w:color="auto"/>
            </w:tcBorders>
          </w:tcPr>
          <w:p>
            <w:pPr>
              <w:spacing w:after="0"/>
              <w:rPr>
                <w:sz w:val="24"/>
                <w:szCs w:val="24"/>
                <w:color w:val="auto"/>
              </w:rPr>
            </w:pPr>
          </w:p>
        </w:tc>
      </w:tr>
      <w:tr>
        <w:trPr>
          <w:trHeight w:val="192"/>
        </w:trPr>
        <w:tc>
          <w:tcPr>
            <w:tcW w:w="100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26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r>
      <w:tr>
        <w:trPr>
          <w:trHeight w:val="207"/>
        </w:trPr>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7"/>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r>
      <w:tr>
        <w:trPr>
          <w:trHeight w:val="207"/>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96"/>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Accretion of marketable securities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7"/>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207"/>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sublicense revenue, net of deferred contract acquisition costs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2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2"/>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(42,097)</w:t>
            </w:r>
          </w:p>
        </w:tc>
        <w:tc>
          <w:tcPr>
            <w:tcW w:w="2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(25,813)</w:t>
            </w:r>
          </w:p>
        </w:tc>
      </w:tr>
      <w:tr>
        <w:trPr>
          <w:trHeight w:val="155"/>
        </w:trPr>
        <w:tc>
          <w:tcPr>
            <w:tcW w:w="100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2"/>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Purchases of laboratory and other equipment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7"/>
        </w:trPr>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(24,984)</w:t>
            </w:r>
          </w:p>
        </w:tc>
        <w:tc>
          <w:tcPr>
            <w:tcW w:w="2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(13,148)</w:t>
            </w:r>
          </w:p>
        </w:tc>
        <w:tc>
          <w:tcPr>
            <w:tcW w:w="2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55"/>
        </w:trPr>
        <w:tc>
          <w:tcPr>
            <w:tcW w:w="100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3"/>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common stock and warrants, net of issuance costs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93,453</w:t>
            </w:r>
          </w:p>
        </w:tc>
      </w:tr>
      <w:tr>
        <w:trPr>
          <w:trHeight w:val="196"/>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proceeds from sale of common stock under Open Market Sale Agreement, net of deferred offering costs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35,926</w:t>
            </w:r>
          </w:p>
        </w:tc>
      </w:tr>
      <w:tr>
        <w:trPr>
          <w:trHeight w:val="207"/>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proceeds from sale of common stock under Employee Stock Purchase Plan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Repayment of note payable</w:t>
            </w:r>
          </w:p>
        </w:tc>
        <w:tc>
          <w:tcPr>
            <w:tcW w:w="9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192"/>
        </w:trPr>
        <w:tc>
          <w:tcPr>
            <w:tcW w:w="80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128,402</w:t>
            </w:r>
          </w:p>
        </w:tc>
      </w:tr>
      <w:tr>
        <w:trPr>
          <w:trHeight w:val="192"/>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(52,035)</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102,528</w:t>
            </w:r>
          </w:p>
        </w:tc>
      </w:tr>
      <w:tr>
        <w:trPr>
          <w:trHeight w:val="202"/>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119,166</w:t>
            </w:r>
          </w:p>
        </w:tc>
        <w:tc>
          <w:tcPr>
            <w:tcW w:w="2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w:t>
            </w:r>
          </w:p>
        </w:tc>
      </w:tr>
      <w:tr>
        <w:trPr>
          <w:trHeight w:val="192"/>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67,131</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119,166</w:t>
            </w:r>
          </w:p>
        </w:tc>
      </w:tr>
      <w:tr>
        <w:trPr>
          <w:trHeight w:val="18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8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Insurance premiums settled by issuing note payable</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191"/>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Purchases of equipment included in accounts payable</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2" w:lineRule="exact"/>
        <w:rPr>
          <w:sz w:val="20"/>
          <w:szCs w:val="20"/>
          <w:color w:val="auto"/>
        </w:rPr>
      </w:pPr>
    </w:p>
    <w:p>
      <w:pPr>
        <w:ind w:right="9720" w:firstLine="5"/>
        <w:spacing w:after="0" w:line="468" w:lineRule="auto"/>
        <w:tabs>
          <w:tab w:leader="none" w:pos="141"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 Overview</w:t>
      </w:r>
    </w:p>
    <w:p>
      <w:pPr>
        <w:jc w:val="both"/>
        <w:spacing w:after="0" w:line="259" w:lineRule="auto"/>
        <w:rPr>
          <w:sz w:val="20"/>
          <w:szCs w:val="20"/>
          <w:color w:val="auto"/>
        </w:rPr>
      </w:pPr>
      <w:r>
        <w:rPr>
          <w:rFonts w:ascii="Times New Roman" w:cs="Times New Roman" w:eastAsia="Times New Roman" w:hAnsi="Times New Roman"/>
          <w:sz w:val="14"/>
          <w:szCs w:val="14"/>
          <w:color w:val="auto"/>
        </w:rPr>
        <w:t>Vistagen Therapeutics, Inc., a Nevada corporation (Vistagen, the Company, we, our, or us), is a late clinical-stage biopharmaceutical company leveraging a deep understanding of nose-to-brain neurocircuitry to develop and commercialize a new class of non-systemic intranasal product candidates called pherines. Our clinical-stage neuroscience pipeline currently consists of five investigational pherine product candidates, each with a novel mechanism of action (MOA)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 We are passionate about developing transformative treatment options with potential to meet clear and growing unmet needs and bring meaningful relief to patients underserved by the current standard of care for multiple highly prevalent indications, all while delivering long term value to our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Basis of Presentation, Principles of Consolidation and Summary of Significant Accounting Policies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financial statements have been prepared in accordance with accounting principles generally accepted in the United States (GAAP), and reflect the operations of Vistagen and our wholly owned subsidiaries. Any reference in these notes to applicable guidance is meant to refer to GAAP as found in the Accounting Standards Codification (ASC) and Accounting Standards Updates (ASU) promulgated by the Financial Accounting Standards Board (FASB). All material intercompany accounts and transactions have been eliminated in consolidation.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Going Concern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complete the development of our neuroscience product candidates and to build the sales, marketing and distribution infrastructure that we believe will be necessary to commercialize our product candidates, if approved, we will require substantial additional capital. Until we can generate a sufficient amount of revenue from the commercialization of our product candidates, we may seek to raise any necessary additional capital through equity and/or debt financings, loans or other capital sources, which could include income from collaborations, partnerships or other marketing, distribution, licensing or other strategic arrangements with third parties. Because of the numerous risks and uncertainties associated with research, development and commercialization of our product candidates, we are unable to estimate the exact amount and timing of our capital requirements. We do not expect to generate any meaningful revenue unless and until we obtain regulatory approval of and commercialize any of our product candidates, and we do not know when, or if, that will occur.</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have incurred significant losses and negative cash flows from operations since inception. As of March 31, 2025, we had an accumulated deficit of $407.6 million and cash used in operations for the year ended March 31, 2025 was $42.1 million. We expect that our operating losses and negative cash flows will continue for the foreseeable future as we continue to develop our product candidates.</w:t>
      </w:r>
    </w:p>
    <w:p>
      <w:pPr>
        <w:spacing w:after="0" w:line="2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accordance with Accounting Standards Codification (ASC) 205-40, Going Concern, we evaluated whether there are conditions and events, considered in the aggregate, that raise substantial doubt about our ability to continue as a going concern within one year from the date that these consolidated financial statements are issued. This evaluation initially does not take into consideration the potential mitigating effect of management’s plans that have not been fully implemented as of the date the consolidated financial statements are issued. When substantial doubt exists under this methodology, management evaluates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In performing its analysis, management excluded certain elements of its operating plan that cannot be considered probable. Under ASC 205-40, the future receipt of potential funding from future equity and/or debt issuances and other potential sources such as partnerships cannot be considered probable at this time because these plans are not entirely within our control nor have these plans been approved by the Board as of the date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of March 31, 2025 and 2024, we had cash, cash equivalents, and marketable securities of $80.5 million and $119.2 million, respectively. As of June 17, 2025, the issuance date of the consolidated financial statements as of and for the year ended March 31, 2025, there is uncertainty about whether our combined cash, cash equivalents, and marketable securities will be sufficient to fund operations beyond twelve months from the issuance date of these consolidated financial statements and therefore we concluded that substantial doubt exists about the our ability to continue as a going concern.</w:t>
      </w: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made in the accompanying consolidated financial statements include, but are not limited to, those relating to stock-based compensation, revenue recognition, research and development expenses, determination of right-of-use assets under lease transactions and related lease obligations, and the assumptions used to value warrants. Although these estimates are based on our knowledge of current events, historical experiences, actions we may undertake in the future and on various other assumptions we believe are reasonable, actual results may materially differ from these estimates and assumptions.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Financial instruments which potentially subject us to significant concentration of credit risk consist of cash and cash equivalents. We maintain deposits in federally insured financial institutions in excess of federally insured limits. We have not experienced any losses in such accounts, and management believes that we are not exposed to significant credit risk due to the nature of the instruments held in the depository institutions.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are considered to be highly liquid investments with maturities of three months or less at the date of purchase. Cash equivalents primarily represent funds invested in readily available money market accounts and short-term treasury notes. As of March 31, 2025, we had cash and cash equivalents balances deposited at multiple major financial institutions.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is stated at cost and depreciated using the straight-line method over the estimated useful lives of the assets (generally three to ten years, or the remaining term of the 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our long-lived assets, which consist of property and equipment, for impairment at least annually, or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we have not recorded any impairment losses on long-lived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Deferred offering costs include registration expenses related to our current registration statement on SEC Form S-3, which became effective on February 29, 2024, and expenses related to the Sales Agreement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These expenses consist primarily of legal, accounting, SEC filing fees, and, as appropriate, Nasdaq filing fees. Upon the completion or partial completion of an applicable equity offering, the deferred expenses are charged to additional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paid-in capital. If there are any deferred offering costs remaining at the expiration of our current registration statement on SEC Form S-3 or the equity financing agreement, or if the financing is abandoned, terminated or significantly delayed, such costs are charged to expense.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We then allocate the transaction price (that is,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subject to the constraint on variable consideration. Variable consideration is not constrained if the potential reversal of cumulative revenue recognized at the contract level is not significant.</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License Rights </w:t>
      </w:r>
      <w:r>
        <w:rPr>
          <w:rFonts w:ascii="Times New Roman" w:cs="Times New Roman" w:eastAsia="Times New Roman" w:hAnsi="Times New Roman"/>
          <w:sz w:val="14"/>
          <w:szCs w:val="14"/>
          <w:color w:val="auto"/>
        </w:rPr>
        <w:t>— If the license to our intellectual property (IP) is determined to be distinct from the other promises or performance obligations identified in the arrangement, which generally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Customer Options </w:t>
      </w:r>
      <w:r>
        <w:rPr>
          <w:rFonts w:ascii="Times New Roman" w:cs="Times New Roman" w:eastAsia="Times New Roman" w:hAnsi="Times New Roman"/>
          <w:sz w:val="14"/>
          <w:szCs w:val="14"/>
          <w:color w:val="auto"/>
        </w:rPr>
        <w:t>— Our arrangements may provide a collaborator with the right to acquire additional goods or services in the future. If an arrangement is determined to contain customer options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Any such adjustments to the transaction price are recorded on a cumulative catch-up basis, which would affect revenues and earnings in the period of adjustment. If the additional services are distinct, we evaluate the customer options for material rights, or options to acquire additional goods or services for free or at a discount. Material rights are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Milestone Payments </w:t>
      </w:r>
      <w:r>
        <w:rPr>
          <w:rFonts w:ascii="Times New Roman" w:cs="Times New Roman" w:eastAsia="Times New Roman" w:hAnsi="Times New Roman"/>
          <w:sz w:val="14"/>
          <w:szCs w:val="14"/>
          <w:color w:val="auto"/>
        </w:rPr>
        <w:t>— At the inception of an arrangement that includes development milestone payments, we evaluate whether the milestones are considered likely to be achieved and estimate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our control, such as regulatory approvals, are not considered probable to be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Royalties </w:t>
      </w:r>
      <w:r>
        <w:rPr>
          <w:rFonts w:ascii="Times New Roman" w:cs="Times New Roman" w:eastAsia="Times New Roman" w:hAnsi="Times New Roman"/>
          <w:sz w:val="14"/>
          <w:szCs w:val="14"/>
          <w:color w:val="auto"/>
        </w:rPr>
        <w:t>— For arrangements that include sales-based royalties, including milestone payments based on a level of sales, where the license is deemed to be the predominant item to which the royalties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 we recognize revenue at the later of (i) when the related sales occur or (ii) when the performance obligation to which some or all of the royalty has been allocated has been satisfied (or partially satisfied). To date, we have not recognized any royalty revenue resulting from licensing agreements.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Amounts due to us for satisfying the revenue recognition criteria or that are contractually due based upon the terms of the collaboration agreements are recorded as accounts receivable on the consolidated balance sheets. Amounts received prior to satisfying the revenue recognition criteria are recorded as deferred revenue.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 and Accruals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programs and are charged to expense as incurred.</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entered into various research and development contracts with clinical research organizations, clinical development and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When evaluating the adequacy of the accrued liabilities, we analyze progress of the services, including the phase or completion of events, invoices received and contracted costs. We hold discussions with relevant employees and outside service providers as to the progress of clinical trials, or the services completed. Significant judgments and estimates may be made in determining the prepaid or accrued balances at the end of any reporting period. Actual results could differ from our estimates. Nonrefundable advance payments for goods and services, including fees for process development, are deferred and recognized as expenses in the period that the related goods are consumed or services are performed.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account for income taxes using the asset and liability approach promulgated by ASC 740</w:t>
      </w:r>
      <w:r>
        <w:rPr>
          <w:rFonts w:ascii="Times New Roman" w:cs="Times New Roman" w:eastAsia="Times New Roman" w:hAnsi="Times New Roman"/>
          <w:sz w:val="14"/>
          <w:szCs w:val="14"/>
          <w:i w:val="1"/>
          <w:iCs w:val="1"/>
          <w:color w:val="auto"/>
        </w:rPr>
        <w:t>, Income Taxes</w:t>
      </w:r>
      <w:r>
        <w:rPr>
          <w:rFonts w:ascii="Times New Roman" w:cs="Times New Roman" w:eastAsia="Times New Roman" w:hAnsi="Times New Roman"/>
          <w:sz w:val="14"/>
          <w:szCs w:val="14"/>
          <w:color w:val="auto"/>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Uncertain tax positions, for which our assessment is that there is a more than 50% probability of sustaining the position upon challenge by a taxing authority based on its technical merits, are subject to certain recognition and measurement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criteria. The nature of the uncertain tax positions is often very complex and subject to change, and the amounts at issue can be substantial. We develop our cumulative probability assessment of the measurement of uncertain tax positions using internal experience, judgment and assistance from our professional advisors. We re-evaluate these uncertain tax positions on a quarterly basis based on a number of factors including, but not limited to, changes in facts or circumstances, changes in tax law, and effectively settled issues under audit and new audit activity. Any change in these factors could result in the recognition of a tax benefit or an additional charge to the tax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the inception of a contractual agreement, we determine whether the contract is or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the implicit rate or a discount rate based on a credit-adjusted secured borrowing rate commensurate with the term of the lease. When determining the lease term, we include options to extend or terminate the lease when it is reasonably certain, at inception, that we will exercise that option. Additionally, we evaluate leases at their inception to determine if they are to be accounted for as an operating lease or a finance lease.</w:t>
      </w:r>
    </w:p>
    <w:p>
      <w:pPr>
        <w:spacing w:after="0" w:line="1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Operating lease assets represent our right to use an underlying asset for the lease term (Right-of-use assets) and operating lease liabilities represent our obligation to make lease payments arising from the lease. The lease payments used to determine our operating lease assets may include lease incentives, stated rent increases and escalation clauses linked to rates of inflation, when determinable, and are recognized in determining our Right-of-use assets.</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Operating lease liabilities with a term greater than one year and their corresponding right-of-use assets are recognized on the balance sheets at the commencement date of the lease based on the present value of lease payments over the expected lease term. We excludes short-term leases, if any, having initial terms of 12 months or less at lease commencement as an accounting policy election. Variable lease payments are amounts owed by us to a lessor that are not fixed, such as reimbursement for common area maintenance costs for our facility lease; and are expensed when incurred. Operating right-of-use assets are reflected in right-of-use assets in the accompanying balance sheets. Operating lease liabilities are reflected in operating lease obligations, current and non-current in the accompanying balance sheets.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Internal-Use Software Development Costs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capitalize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consolidated balance sheet. We expense costs incurred related to the planning and post-implementation phases of development as incurred.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Stock-based compensation is accounted for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(ASC 718) and is measured at the grant date fair value for employee, officer, director and non-employee equity awards and is recognized over the requisite service period, which is generally the vesting period. We recognize forfeitures as they occur. Stock-based compensation is classified in the Consolidated Statements of Operations and Comprehensive Loss in the same manner in which the recipient's payroll or fees are classified.</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our common stock, risk-free interest rate and expected dividend. Options granted have a maximum contractual term of ten years. We have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estimated based on the average historical volatility of our own common stock. The risk-free interest rates used are based on the U.S. Treasury yield in effect at the time of grant for zero-coupon U.S. treasury notes with maturities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approximately equal to the expected term of the stock options. We have historically not declared or paid any dividends and we do not currently expect to do so in the foreseeable future, and therefore have estimated the dividend yield to be zero.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measure cash equivalents and available-for-sale debt securities at fair value. Fair value is defined as an exit price, representing the amount that would be received to sell an asset or paid to transfer a liability in an orderly transaction between market participants. Fair value is defined as the price we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w:t>
      </w:r>
    </w:p>
    <w:p>
      <w:pPr>
        <w:spacing w:after="0" w:line="138" w:lineRule="exact"/>
        <w:rPr>
          <w:sz w:val="20"/>
          <w:szCs w:val="20"/>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Unadjusted quoted prices in active markets that are accessible at the measurement date for identical assets or liabilities.</w:t>
      </w:r>
    </w:p>
    <w:p>
      <w:pPr>
        <w:spacing w:after="0" w:line="178" w:lineRule="exact"/>
        <w:rPr>
          <w:rFonts w:ascii="Times New Roman" w:cs="Times New Roman" w:eastAsia="Times New Roman" w:hAnsi="Times New Roman"/>
          <w:sz w:val="14"/>
          <w:szCs w:val="14"/>
          <w:color w:val="auto"/>
        </w:rPr>
      </w:pPr>
    </w:p>
    <w:p>
      <w:pPr>
        <w:ind w:left="520" w:right="440" w:hanging="260"/>
        <w:spacing w:after="0" w:line="290"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Quoted prices for similar assets and liabilities in active markets, quoted prices in markets that are not active, or inputs which are observable, either directly or indirectly,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substantially the full term of the asset or liability.</w:t>
      </w:r>
    </w:p>
    <w:p>
      <w:pPr>
        <w:spacing w:after="0" w:line="12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Prices or valuation techniques that require inputs that are both significant to the fair value measurement and unobservable (i.e. supported by little or no market activity).</w:t>
      </w:r>
    </w:p>
    <w:p>
      <w:pPr>
        <w:spacing w:after="0" w:line="18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Issued in Connection with Equity Financing</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4"/>
          <w:szCs w:val="14"/>
          <w:i w:val="1"/>
          <w:iCs w:val="1"/>
          <w:color w:val="auto"/>
        </w:rPr>
        <w:t>Derivatives and Hedging-Contracts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Own Equity </w:t>
      </w:r>
      <w:r>
        <w:rPr>
          <w:rFonts w:ascii="Times New Roman" w:cs="Times New Roman" w:eastAsia="Times New Roman" w:hAnsi="Times New Roman"/>
          <w:sz w:val="14"/>
          <w:szCs w:val="14"/>
          <w:color w:val="auto"/>
        </w:rPr>
        <w:t>(ASC 815-40), we classify a warrant as equity if it is “indexed to the Company’s equity” and meets several specific conditions for equity classification. A warrant is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considered “indexed to the Company’s equity,” in general, when it contains certain types of exercise contingencies or potential adjustments to its exercise price. If a warrant is not indexed to the Company’s equity or it has net cash settlement provisions that result in the warrants being accounted for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or ASC 815-40, it is classified as a derivative liability which is carried on the consolidated balance sheets at fair value with any changes in its fair value recognized immediately in the Statements of Operations and Comprehensive Loss. At March 31, 2025 and 2024 all of our outstanding warrants were classified as equity.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loss includes net loss as well as other changes in shareholders’ equity that result from transactions and economic events other than those with shareholders.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2025, these changes related to unrealized gains and losses on our available-for-sale short-term investments. There were no reclassifications out of comprehensive loss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2025 and 2024,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calculate basic and diluted net loss per share attributable to common stockholders in conformity with the two-class method required for participating securities. Certain warrants participate in distributions of the Company. The Pre-Funded Warrants associated with the October 2023 Public Offering (see Note 8 below) are considered outstanding shares in the basic earnings per share calculation given their nominal exercise price. The net loss attributable to common stockholders is not allocated to the warrant holders as the holders of warrants do not have a contractual obligation to share in losses. 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their effect is dilutive. Our potentially dilutive securities, including outstanding warrants to purchase common stock and outstanding stock options under the our equity incentive plan, have been excluded from the computation of diluted net loss per share as their inclusion would be anti-dilutive. For all periods presented, there is no difference in the number of shares used to calculate basic and diluted shares outstanding due to our net loss position.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outstanding potentially dilutive securities that have been excluded from the calculation of diluted net loss per share because their inclusion in the calculation would be anti-dilutive:</w:t>
      </w:r>
    </w:p>
    <w:p>
      <w:pPr>
        <w:sectPr>
          <w:pgSz w:w="11900" w:h="16838" w:orient="portrait"/>
          <w:cols w:equalWidth="0" w:num="1">
            <w:col w:w="11280"/>
          </w:cols>
          <w:pgMar w:left="300" w:top="294" w:right="31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
        <w:spacing w:after="0" w:line="260" w:lineRule="auto"/>
        <w:rPr>
          <w:sz w:val="20"/>
          <w:szCs w:val="20"/>
          <w:color w:val="auto"/>
        </w:rPr>
      </w:pPr>
      <w:r>
        <w:rPr>
          <w:rFonts w:ascii="Times New Roman" w:cs="Times New Roman" w:eastAsia="Times New Roman" w:hAnsi="Times New Roman"/>
          <w:sz w:val="14"/>
          <w:szCs w:val="14"/>
          <w:color w:val="auto"/>
        </w:rPr>
        <w:t>Outstanding options under the Company's Amended and Restated 2016 (formerly 2008) Stock Incentive Plan and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61530" cy="229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7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30"/>
        </w:trPr>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3,239,642</w:t>
            </w:r>
          </w:p>
        </w:tc>
        <w:tc>
          <w:tcPr>
            <w:tcW w:w="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815,357</w:t>
            </w:r>
          </w:p>
        </w:tc>
      </w:tr>
      <w:tr>
        <w:trPr>
          <w:trHeight w:val="191"/>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20,571,460</w:t>
            </w:r>
          </w:p>
        </w:tc>
        <w:tc>
          <w:tcPr>
            <w:tcW w:w="34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20,604,794</w:t>
            </w:r>
          </w:p>
        </w:tc>
      </w:tr>
      <w:tr>
        <w:trPr>
          <w:trHeight w:val="187"/>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23,811,102</w:t>
            </w:r>
          </w:p>
        </w:tc>
        <w:tc>
          <w:tcPr>
            <w:tcW w:w="34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21,420,151</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6760" w:space="220"/>
            <w:col w:w="4300"/>
          </w:cols>
          <w:pgMar w:left="300" w:top="294" w:right="319" w:bottom="1440" w:gutter="0" w:footer="0" w:header="0"/>
          <w:type w:val="continuous"/>
        </w:sectPr>
      </w:pP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manage our operations as a single reportable segment for the purposes of assessing performance and making operating decisions.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Parties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 xml:space="preserve"> (ASC 850) requires that transactions with related parties that would make a difference in decision-making shall be disclosed so that users of the financial statements can evaluate their significance.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Principles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new standard is intended to improve annual and interim reportable segment disclosure requirements regardless of number of reporting units, primarily through enhanced disclosures of significant expenses. The amendment requires public entities to disclose significant segment expenses that are regularly provided to the Company's chief operating decision maker (CODM) and included within each reported measure of segment profit and loss. We adopted this new standard for the annual period ended March 31, 2025 on a retrospective basis, and the adoption did not have a material impact on its consolidated financial statements and related disclosures. See Note 14, Segment Information, for the updated segment disclosures as a result of adopting this ASU.</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Issued Accounting Pronouncements Not Yet Adopted</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requires disaggregated information about a reporting entity’s effective tax rate reconciliation as well as information on income taxes paid. ASU 2023-09 is effective for public entities with annual periods beginning after December 15, 2024, with early adoption permitted. We are currently evaluating the impact of this guidance on our financial statements.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which requires new disclosures to disaggregate prescribed natural expenses underlying any income statement caption. ASU 2024-03 is effective for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We are currently evaluating the impact of this guidance on our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Although there were several other new accounting pronouncements issued or proposed by the FASB, we do not believe any of those accounting pronouncements have had or will have a material impact on our financial position or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show the our cash, cash equivalents and marketable securities at fair value as of March 31, 2025 and 2024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67,131</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67,131</w:t>
            </w: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securities</w:t>
            </w:r>
          </w:p>
        </w:tc>
        <w:tc>
          <w:tcPr>
            <w:tcW w:w="1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w:t>
            </w:r>
          </w:p>
        </w:tc>
      </w:tr>
      <w:tr>
        <w:trPr>
          <w:trHeight w:val="17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67,131</w:t>
            </w:r>
          </w:p>
        </w:tc>
        <w:tc>
          <w:tcPr>
            <w:tcW w:w="1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13,351</w:t>
            </w:r>
          </w:p>
        </w:tc>
        <w:tc>
          <w:tcPr>
            <w:tcW w:w="1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80,482</w:t>
            </w:r>
          </w:p>
        </w:tc>
      </w:tr>
      <w:tr>
        <w:trPr>
          <w:trHeight w:val="20"/>
        </w:trPr>
        <w:tc>
          <w:tcPr>
            <w:tcW w:w="4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1"/>
        </w:trPr>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119,166</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119,166</w:t>
            </w:r>
          </w:p>
        </w:tc>
      </w:tr>
      <w:tr>
        <w:trPr>
          <w:trHeight w:val="171"/>
        </w:trPr>
        <w:tc>
          <w:tcPr>
            <w:tcW w:w="4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119,166</w:t>
            </w:r>
          </w:p>
        </w:tc>
        <w:tc>
          <w:tcPr>
            <w:tcW w:w="1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119,166</w:t>
            </w:r>
          </w:p>
        </w:tc>
      </w:tr>
      <w:tr>
        <w:trPr>
          <w:trHeight w:val="20"/>
        </w:trPr>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amounts of the our prepaid and other current assets, accounts payable, and accrued liabilities, approximate fair value due to their short maturities. We had no financial liabilities measured at fair value on a recurring basis at March 31, 2025 or 2024. There were no transfers between Levels 1, 2 or 3 for any of the periods presented.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record any impairment charges related to our marketable debt securities during the year ended March 31, 2025 or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marketable securities as of March 31, 2025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1"/>
        </w:trPr>
        <w:tc>
          <w:tcPr>
            <w:tcW w:w="2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Maturity (in years)</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280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Less than 1</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w:t>
            </w:r>
          </w:p>
        </w:tc>
      </w:tr>
      <w:tr>
        <w:trPr>
          <w:trHeight w:val="171"/>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13,346</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13,351</w:t>
            </w:r>
          </w:p>
        </w:tc>
      </w:tr>
      <w:tr>
        <w:trPr>
          <w:trHeight w:val="20"/>
        </w:trPr>
        <w:tc>
          <w:tcPr>
            <w:tcW w:w="2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hold any marketable securities as of March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4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20" w:type="dxa"/>
            <w:vAlign w:val="bottom"/>
            <w:tcBorders>
              <w:bottom w:val="single" w:sz="8" w:color="auto"/>
            </w:tcBorders>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00" w:type="dxa"/>
            <w:vAlign w:val="bottom"/>
          </w:tcPr>
          <w:p>
            <w:pPr>
              <w:spacing w:after="0"/>
              <w:rPr>
                <w:sz w:val="14"/>
                <w:szCs w:val="14"/>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80"/>
        </w:trPr>
        <w:tc>
          <w:tcPr>
            <w:tcW w:w="700" w:type="dxa"/>
            <w:vAlign w:val="bottom"/>
          </w:tcPr>
          <w:p>
            <w:pPr>
              <w:spacing w:after="0"/>
              <w:rPr>
                <w:sz w:val="15"/>
                <w:szCs w:val="15"/>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improvements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700" w:type="dxa"/>
            <w:vAlign w:val="bottom"/>
          </w:tcPr>
          <w:p>
            <w:pPr>
              <w:spacing w:after="0"/>
              <w:rPr>
                <w:sz w:val="15"/>
                <w:szCs w:val="15"/>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 w:type="dxa"/>
            <w:vAlign w:val="bottom"/>
          </w:tcPr>
          <w:p>
            <w:pPr>
              <w:spacing w:after="0"/>
              <w:rPr>
                <w:sz w:val="15"/>
                <w:szCs w:val="15"/>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0" w:type="dxa"/>
            <w:vAlign w:val="bottom"/>
          </w:tcPr>
          <w:p>
            <w:pPr>
              <w:spacing w:after="0"/>
              <w:rPr>
                <w:sz w:val="15"/>
                <w:szCs w:val="15"/>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700" w:type="dxa"/>
            <w:vAlign w:val="bottom"/>
          </w:tcPr>
          <w:p>
            <w:pPr>
              <w:spacing w:after="0"/>
              <w:rPr>
                <w:sz w:val="15"/>
                <w:szCs w:val="15"/>
                <w:color w:val="auto"/>
              </w:rPr>
            </w:pPr>
          </w:p>
        </w:tc>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Manufacturing equipment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700" w:type="dxa"/>
            <w:vAlign w:val="bottom"/>
          </w:tcPr>
          <w:p>
            <w:pPr>
              <w:spacing w:after="0"/>
              <w:rPr>
                <w:sz w:val="14"/>
                <w:szCs w:val="14"/>
                <w:color w:val="auto"/>
              </w:rPr>
            </w:pPr>
          </w:p>
        </w:tc>
        <w:tc>
          <w:tcPr>
            <w:tcW w:w="6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r>
      <w:tr>
        <w:trPr>
          <w:trHeight w:val="180"/>
        </w:trPr>
        <w:tc>
          <w:tcPr>
            <w:tcW w:w="700" w:type="dxa"/>
            <w:vAlign w:val="bottom"/>
          </w:tcPr>
          <w:p>
            <w:pPr>
              <w:spacing w:after="0"/>
              <w:rPr>
                <w:sz w:val="15"/>
                <w:szCs w:val="15"/>
                <w:color w:val="auto"/>
              </w:rPr>
            </w:pPr>
          </w:p>
        </w:tc>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2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96"/>
        </w:trPr>
        <w:tc>
          <w:tcPr>
            <w:tcW w:w="700" w:type="dxa"/>
            <w:vAlign w:val="bottom"/>
          </w:tcPr>
          <w:p>
            <w:pPr>
              <w:spacing w:after="0"/>
              <w:rPr>
                <w:sz w:val="16"/>
                <w:szCs w:val="16"/>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0"/>
        </w:trPr>
        <w:tc>
          <w:tcPr>
            <w:tcW w:w="70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recognized depreciation expense of $150,000 and $127,000 for the years ended March 31, 2025 and 2024, respectively.</w:t>
      </w:r>
    </w:p>
    <w:p>
      <w:pPr>
        <w:spacing w:after="0" w:line="177" w:lineRule="exact"/>
        <w:rPr>
          <w:sz w:val="20"/>
          <w:szCs w:val="20"/>
          <w:color w:val="auto"/>
        </w:rPr>
      </w:pPr>
    </w:p>
    <w:p>
      <w:pPr>
        <w:ind w:right="10280" w:firstLine="5"/>
        <w:spacing w:after="0" w:line="507" w:lineRule="auto"/>
        <w:tabs>
          <w:tab w:leader="none" w:pos="141"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Operating Lease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 single lease for our headquarters, which includes office and laboratory space, in South San Francisco, California. The lease commenced in April 2013, and was subsequently amended in 2016 to extend the lease term to July 31, 2022, and included one five-year extension option. For the purpose of determining the right-of-use asset and associated lease liability, we determined that we would likely exercise the five-year extension option through July 2027. On October 14, 2021, we entered into an amendment to the lease (the Lease Amendment), pursuant to which the term of the lease was extended from August 1, 2022 to July 31, 2027. Under the terms of the Lease Amendment, we have the option to renew the lease for an additional five-year term commencing on August 1, 2027. We did not include the remaining renewal option in determining the lease term, as we were not reasonably certain to exercise either renewal 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 of operating lease costs in our consolidated statements of operations (in thousands):</w:t>
      </w:r>
    </w:p>
    <w:p>
      <w:pPr>
        <w:spacing w:after="0" w:line="20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540" w:type="dxa"/>
        <w:tblCellMar>
          <w:top w:w="0" w:type="dxa"/>
          <w:left w:w="0" w:type="dxa"/>
          <w:bottom w:w="0" w:type="dxa"/>
          <w:right w:w="0" w:type="dxa"/>
        </w:tblCellMar>
      </w:tblPr>
      <w:tr>
        <w:trPr>
          <w:trHeight w:val="182"/>
        </w:trPr>
        <w:tc>
          <w:tcPr>
            <w:tcW w:w="716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201"/>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Variable lease costs</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17"/>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cost</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7640" w:type="dxa"/>
            <w:vAlign w:val="bottom"/>
          </w:tcPr>
          <w:p>
            <w:pPr>
              <w:jc w:val="center"/>
              <w:ind w:left="1329"/>
              <w:spacing w:after="0"/>
              <w:rPr>
                <w:sz w:val="20"/>
                <w:szCs w:val="20"/>
                <w:color w:val="auto"/>
              </w:rPr>
            </w:pPr>
            <w:r>
              <w:rPr>
                <w:rFonts w:ascii="Times New Roman" w:cs="Times New Roman" w:eastAsia="Times New Roman" w:hAnsi="Times New Roman"/>
                <w:sz w:val="14"/>
                <w:szCs w:val="14"/>
                <w:b w:val="1"/>
                <w:bCs w:val="1"/>
                <w:color w:val="auto"/>
              </w:rPr>
              <w:t>VISTAGEN THERAPEUTICS, INC.</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120" w:type="dxa"/>
            <w:vAlign w:val="bottom"/>
          </w:tcPr>
          <w:p>
            <w:pPr>
              <w:spacing w:after="0"/>
              <w:rPr>
                <w:sz w:val="16"/>
                <w:szCs w:val="16"/>
                <w:color w:val="auto"/>
              </w:rPr>
            </w:pPr>
          </w:p>
        </w:tc>
        <w:tc>
          <w:tcPr>
            <w:tcW w:w="7640" w:type="dxa"/>
            <w:vAlign w:val="bottom"/>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79"/>
        </w:trPr>
        <w:tc>
          <w:tcPr>
            <w:tcW w:w="8760" w:type="dxa"/>
            <w:vAlign w:val="bottom"/>
            <w:gridSpan w:val="2"/>
          </w:tcPr>
          <w:p>
            <w:pPr>
              <w:jc w:val="right"/>
              <w:ind w:right="4029"/>
              <w:spacing w:after="0"/>
              <w:rPr>
                <w:sz w:val="20"/>
                <w:szCs w:val="20"/>
                <w:color w:val="auto"/>
              </w:rPr>
            </w:pPr>
            <w:r>
              <w:rPr>
                <w:rFonts w:ascii="Times New Roman" w:cs="Times New Roman" w:eastAsia="Times New Roman" w:hAnsi="Times New Roman"/>
                <w:sz w:val="14"/>
                <w:szCs w:val="14"/>
                <w:color w:val="auto"/>
              </w:rPr>
              <w:t>Maturities of lease liabilities as of March 31, 2025 were as follows (in thousands):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1"/>
        </w:trPr>
        <w:tc>
          <w:tcPr>
            <w:tcW w:w="11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March 31,</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Amount</w:t>
            </w:r>
          </w:p>
        </w:tc>
      </w:tr>
      <w:tr>
        <w:trPr>
          <w:trHeight w:val="192"/>
        </w:trPr>
        <w:tc>
          <w:tcPr>
            <w:tcW w:w="8760" w:type="dxa"/>
            <w:vAlign w:val="bottom"/>
            <w:gridSpan w:val="2"/>
          </w:tcPr>
          <w:p>
            <w:pPr>
              <w:jc w:val="right"/>
              <w:ind w:right="7069"/>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07"/>
        </w:trPr>
        <w:tc>
          <w:tcPr>
            <w:tcW w:w="1120" w:type="dxa"/>
            <w:vAlign w:val="bottom"/>
          </w:tcPr>
          <w:p>
            <w:pPr>
              <w:spacing w:after="0"/>
              <w:rPr>
                <w:sz w:val="18"/>
                <w:szCs w:val="18"/>
                <w:color w:val="auto"/>
              </w:rPr>
            </w:pPr>
          </w:p>
        </w:tc>
        <w:tc>
          <w:tcPr>
            <w:tcW w:w="7640" w:type="dxa"/>
            <w:vAlign w:val="bottom"/>
            <w:shd w:val="clear" w:color="auto" w:fill="CCEEFF"/>
          </w:tcPr>
          <w:p>
            <w:pPr>
              <w:jc w:val="right"/>
              <w:ind w:right="7069"/>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196"/>
        </w:trPr>
        <w:tc>
          <w:tcPr>
            <w:tcW w:w="8760" w:type="dxa"/>
            <w:vAlign w:val="bottom"/>
            <w:gridSpan w:val="2"/>
          </w:tcPr>
          <w:p>
            <w:pPr>
              <w:jc w:val="right"/>
              <w:ind w:right="7069"/>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02"/>
        </w:trPr>
        <w:tc>
          <w:tcPr>
            <w:tcW w:w="1120" w:type="dxa"/>
            <w:vAlign w:val="bottom"/>
          </w:tcPr>
          <w:p>
            <w:pPr>
              <w:spacing w:after="0"/>
              <w:rPr>
                <w:sz w:val="17"/>
                <w:szCs w:val="17"/>
                <w:color w:val="auto"/>
              </w:rPr>
            </w:pP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1120" w:type="dxa"/>
            <w:vAlign w:val="bottom"/>
          </w:tcPr>
          <w:p>
            <w:pPr>
              <w:spacing w:after="0"/>
              <w:rPr>
                <w:sz w:val="16"/>
                <w:szCs w:val="16"/>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202"/>
        </w:trPr>
        <w:tc>
          <w:tcPr>
            <w:tcW w:w="112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2"/>
        </w:trPr>
        <w:tc>
          <w:tcPr>
            <w:tcW w:w="1120" w:type="dxa"/>
            <w:vAlign w:val="bottom"/>
          </w:tcPr>
          <w:p>
            <w:pPr>
              <w:spacing w:after="0"/>
              <w:rPr>
                <w:sz w:val="16"/>
                <w:szCs w:val="16"/>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r>
      <w:tr>
        <w:trPr>
          <w:trHeight w:val="202"/>
        </w:trPr>
        <w:tc>
          <w:tcPr>
            <w:tcW w:w="112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operating lease liabilities - current portion</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198"/>
        </w:trPr>
        <w:tc>
          <w:tcPr>
            <w:tcW w:w="1120" w:type="dxa"/>
            <w:vAlign w:val="bottom"/>
          </w:tcPr>
          <w:p>
            <w:pPr>
              <w:spacing w:after="0"/>
              <w:rPr>
                <w:sz w:val="17"/>
                <w:szCs w:val="17"/>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 non-current portion</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r>
      <w:tr>
        <w:trPr>
          <w:trHeight w:val="20"/>
        </w:trPr>
        <w:tc>
          <w:tcPr>
            <w:tcW w:w="11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lease had a remaining term of 2.3 years and 3.3 years as of March 31, 2025 and 2024, respectively. The lease liability was calculated based on a weighted-average discount rate of 8.54% as of March 31, 2025 and 2024. During the years ended March 31, 2025 and 2024, we made cash payments for amounts included in the measurement of lease liabilities of $0.8 million and $0.7 million,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Accrued Expenses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40"/>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are composed of the following (in thousands):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7"/>
        </w:trPr>
        <w:tc>
          <w:tcPr>
            <w:tcW w:w="3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Borders>
              <w:bottom w:val="single" w:sz="8" w:color="auto"/>
            </w:tcBorders>
          </w:tcPr>
          <w:p>
            <w:pPr>
              <w:spacing w:after="0"/>
              <w:rPr>
                <w:sz w:val="24"/>
                <w:szCs w:val="24"/>
                <w:color w:val="auto"/>
              </w:rPr>
            </w:pPr>
          </w:p>
        </w:tc>
      </w:tr>
      <w:tr>
        <w:trPr>
          <w:trHeight w:val="192"/>
        </w:trPr>
        <w:tc>
          <w:tcPr>
            <w:tcW w:w="360" w:type="dxa"/>
            <w:vAlign w:val="bottom"/>
          </w:tcPr>
          <w:p>
            <w:pPr>
              <w:spacing w:after="0"/>
              <w:rPr>
                <w:sz w:val="16"/>
                <w:szCs w:val="16"/>
                <w:color w:val="auto"/>
              </w:rPr>
            </w:pPr>
          </w:p>
        </w:tc>
        <w:tc>
          <w:tcPr>
            <w:tcW w:w="7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360" w:type="dxa"/>
            <w:vAlign w:val="bottom"/>
          </w:tcPr>
          <w:p>
            <w:pPr>
              <w:spacing w:after="0"/>
              <w:rPr>
                <w:sz w:val="17"/>
                <w:szCs w:val="17"/>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96"/>
        </w:trPr>
        <w:tc>
          <w:tcPr>
            <w:tcW w:w="360" w:type="dxa"/>
            <w:vAlign w:val="bottom"/>
          </w:tcPr>
          <w:p>
            <w:pPr>
              <w:spacing w:after="0"/>
              <w:rPr>
                <w:sz w:val="17"/>
                <w:szCs w:val="17"/>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employee compensation costs</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207"/>
        </w:trPr>
        <w:tc>
          <w:tcPr>
            <w:tcW w:w="360" w:type="dxa"/>
            <w:vAlign w:val="bottom"/>
          </w:tcPr>
          <w:p>
            <w:pPr>
              <w:spacing w:after="0"/>
              <w:rPr>
                <w:sz w:val="18"/>
                <w:szCs w:val="18"/>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and professional service fees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6"/>
        </w:trPr>
        <w:tc>
          <w:tcPr>
            <w:tcW w:w="360" w:type="dxa"/>
            <w:vAlign w:val="bottom"/>
          </w:tcPr>
          <w:p>
            <w:pPr>
              <w:spacing w:after="0"/>
              <w:rPr>
                <w:sz w:val="17"/>
                <w:szCs w:val="17"/>
                <w:color w:val="auto"/>
              </w:rPr>
            </w:pPr>
          </w:p>
        </w:tc>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3"/>
        </w:trPr>
        <w:tc>
          <w:tcPr>
            <w:tcW w:w="36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accrued expenses</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r>
      <w:tr>
        <w:trPr>
          <w:trHeight w:val="20"/>
        </w:trPr>
        <w:tc>
          <w:tcPr>
            <w:tcW w:w="36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Note Payable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spacing w:after="0" w:line="1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May 2022, we executed a 3.88% promissory note in the principal amount of $1.1 million in connection with certain insurance policy premiums. The note was payable in monthly installments of $0.1 million, including principal and interest, and we paid this note in full in April 2023.</w:t>
      </w:r>
    </w:p>
    <w:p>
      <w:pPr>
        <w:spacing w:after="0" w:line="122" w:lineRule="exact"/>
        <w:rPr>
          <w:sz w:val="20"/>
          <w:szCs w:val="20"/>
          <w:color w:val="auto"/>
        </w:rPr>
      </w:pPr>
    </w:p>
    <w:p>
      <w:pPr>
        <w:jc w:val="both"/>
        <w:ind w:right="10320" w:firstLine="5"/>
        <w:spacing w:after="0" w:line="506" w:lineRule="auto"/>
        <w:tabs>
          <w:tab w:leader="none" w:pos="141"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Stock Common Stock</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October 2023 Public Offering</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October 2, 2023, we completed an underwritten public offering (the October 2023 Public Offering), whereby we offered and sold, for gross proceeds of approximately $100 million, a total of 15,010,810 shares of our common stock and a total of 3,577,240 pre-funded warrants to purchase up to 3,577,240 shares of common stock (the Pre-Funded Warrants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Each share of common stock and each Pre-Funded Warrant was issued together with a ratably allocated portion of warrants to purchase up to 9,294,022 shares of common stock with an exercise price of $5.38 per share (the T1 Warrants) and warrants to purchase 11,265,086 shares of common stock with an exercise price of $8.877 per share (the T2 Warrants). The net proceeds to us from 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 October 2023 Public Offering were approximately $93.5 million, after deducting expenses related to the offering, including commissions, legal expenses and other offering costs.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Pre-Funded Warrants, T1 Warrants and T2 Warrants (collectively, the Warrants)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evaluated the terms of the Warrants issued and determined that they should be classified as equity instruments within additional paid-in capital. The Pre-Funded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 Agreement</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May 2021, we entered into an Open Market Sale Agreement (the Sales Agreement) with Jefferies LLC (Jefferies) which enabled us, in our sole discretion, to offer and sell, from time to time, shares of our common stock for aggregate gross proceeds of up to $75.0 million. In February 2024, the aggregate gross proceeds available under the Sales Agreement was increased to $100 million. As of March 31, 2025, approximately $96.9 million of common stock remained available for sale under the Sales Agreement.</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March 31, 2025 and 2024, we sold an aggregate of 1,108,587 and 4,698,495 shares, respectively, under the Sales Agreement, for net proceeds of $3.0 million and $36.2, respectively, after sales agent commissions. We pay Jefferies a commission of up to three percent (3.0%) of the aggregate gross proceeds from any sales under the Sales Agreement.</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record transactions under the Sales Agreement on a settlement date basis. All legal fees and accounting expenses incurred in connection with the Sales Agreement are recorded as Deferred Offering Costs and are amortized to Additional Paid-in Capital as sales of shares are made under the Sales Agreement. The Sales Agreement will terminate upon the earlier of (i) the sale of all shares subject to the Sales Agreement or (ii) the termination of the Sales Agreement by Jefferies or by us, as permitted.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Exercises, Expirations and Modifications</w:t>
            </w: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340"/>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 March 31, 2025, the following common stock warrants were outstanding:</w:t>
            </w: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4"/>
        </w:trPr>
        <w:tc>
          <w:tcPr>
            <w:tcW w:w="478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29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Exercise price</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186"/>
        </w:trPr>
        <w:tc>
          <w:tcPr>
            <w:tcW w:w="478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underlying warrants</w:t>
            </w:r>
          </w:p>
        </w:tc>
        <w:tc>
          <w:tcPr>
            <w:tcW w:w="29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71"/>
        </w:trPr>
        <w:tc>
          <w:tcPr>
            <w:tcW w:w="3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12,352</w:t>
            </w:r>
          </w:p>
        </w:tc>
        <w:tc>
          <w:tcPr>
            <w:tcW w:w="2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center"/>
              <w:ind w:right="909"/>
              <w:spacing w:after="0"/>
              <w:rPr>
                <w:sz w:val="20"/>
                <w:szCs w:val="20"/>
                <w:color w:val="auto"/>
              </w:rPr>
            </w:pPr>
            <w:r>
              <w:rPr>
                <w:rFonts w:ascii="Times New Roman" w:cs="Times New Roman" w:eastAsia="Times New Roman" w:hAnsi="Times New Roman"/>
                <w:sz w:val="14"/>
                <w:szCs w:val="14"/>
                <w:color w:val="auto"/>
                <w:w w:val="96"/>
              </w:rPr>
              <w:t>$21.900</w:t>
            </w:r>
          </w:p>
        </w:tc>
        <w:tc>
          <w:tcPr>
            <w:tcW w:w="24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7/25/2025</w:t>
            </w:r>
          </w:p>
        </w:tc>
      </w:tr>
      <w:tr>
        <w:trPr>
          <w:trHeight w:val="18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2,788,620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auto"/>
              </w:rPr>
              <w:t>$0.001</w:t>
            </w:r>
          </w:p>
        </w:tc>
        <w:tc>
          <w:tcPr>
            <w:tcW w:w="24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9,294,022</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740" w:type="dxa"/>
            <w:vAlign w:val="bottom"/>
            <w:shd w:val="clear" w:color="auto" w:fill="CCEEFF"/>
          </w:tcPr>
          <w:p>
            <w:pPr>
              <w:jc w:val="center"/>
              <w:ind w:right="909"/>
              <w:spacing w:after="0"/>
              <w:rPr>
                <w:sz w:val="20"/>
                <w:szCs w:val="20"/>
                <w:color w:val="auto"/>
              </w:rPr>
            </w:pPr>
            <w:r>
              <w:rPr>
                <w:rFonts w:ascii="Times New Roman" w:cs="Times New Roman" w:eastAsia="Times New Roman" w:hAnsi="Times New Roman"/>
                <w:sz w:val="14"/>
                <w:szCs w:val="14"/>
                <w:color w:val="auto"/>
              </w:rPr>
              <w:t>$5.380</w:t>
            </w:r>
          </w:p>
        </w:tc>
        <w:tc>
          <w:tcPr>
            <w:tcW w:w="240" w:type="dxa"/>
            <w:vAlign w:val="bottom"/>
            <w:shd w:val="clear" w:color="auto" w:fill="CCEEFF"/>
          </w:tcPr>
          <w:p>
            <w:pPr>
              <w:spacing w:after="0"/>
              <w:rPr>
                <w:sz w:val="15"/>
                <w:szCs w:val="15"/>
                <w:color w:val="auto"/>
              </w:rPr>
            </w:pP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r>
      <w:tr>
        <w:trPr>
          <w:trHeight w:val="184"/>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11,265,086</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auto"/>
              </w:rPr>
              <w:t>$8.877</w:t>
            </w:r>
          </w:p>
        </w:tc>
        <w:tc>
          <w:tcPr>
            <w:tcW w:w="2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10/4/2028</w:t>
            </w:r>
          </w:p>
        </w:tc>
      </w:tr>
    </w:tbl>
    <w:p>
      <w:pPr>
        <w:spacing w:after="0" w:line="149" w:lineRule="exact"/>
        <w:rPr>
          <w:sz w:val="20"/>
          <w:szCs w:val="20"/>
          <w:color w:val="auto"/>
        </w:rPr>
      </w:pPr>
    </w:p>
    <w:p>
      <w:pPr>
        <w:ind w:left="520" w:hanging="6"/>
        <w:spacing w:after="0" w:line="300" w:lineRule="auto"/>
        <w:tabs>
          <w:tab w:leader="none" w:pos="675"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warrants will expire 60 days after the later of (i) the date on which the Company first publicly discloses, whether by press release or Form 8-K filing, the top-line data for its PALISADE-3 Phase 3 clinical trial of fasedienol for the acute treatment of anxiety in adults with SAD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color w:val="auto"/>
        </w:rPr>
        <w:t>and (ii) the date on which the Company first publicly discloses, whether by press release or Form 8-K filing, the top-line data for its PALISADE-4 Phase 3 clinical trial of fasedienol for the acute treatment of anxiety in adults with SAD.</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weighted average exercise price of all outstanding warrants at March 31, 2025 is $6.43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 In October 2024, Pre-Funded Warrants to purchase 788,620 shares of common stock were exercised on a cashless basis, resulting in the issuance of 788,359 shares of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warrant exercises during the year ended March 31, 2024. In December 2024, 33,334 warrants to purchase common stock, with an exercise price of $15.00 per share, expired. During the year ended March 31, 2024, 263,510 warrants to purchase common stock, with a weighted average exercise price of $48.94 per share, expired.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Reserved Shares</w:t>
            </w:r>
          </w:p>
        </w:tc>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40"/>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We had the following shares of common stock reserved for future issuance:</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2"/>
        </w:trPr>
        <w:tc>
          <w:tcPr>
            <w:tcW w:w="6700" w:type="dxa"/>
            <w:vAlign w:val="bottom"/>
          </w:tcPr>
          <w:p>
            <w:pPr>
              <w:spacing w:after="0"/>
              <w:rPr>
                <w:sz w:val="24"/>
                <w:szCs w:val="24"/>
                <w:color w:val="auto"/>
              </w:rPr>
            </w:pPr>
          </w:p>
        </w:tc>
        <w:tc>
          <w:tcPr>
            <w:tcW w:w="310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80" w:type="dxa"/>
            <w:vAlign w:val="bottom"/>
            <w:tcBorders>
              <w:bottom w:val="single" w:sz="8" w:color="auto"/>
            </w:tcBorders>
          </w:tcPr>
          <w:p>
            <w:pPr>
              <w:spacing w:after="0"/>
              <w:rPr>
                <w:sz w:val="24"/>
                <w:szCs w:val="24"/>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234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18"/>
        </w:trPr>
        <w:tc>
          <w:tcPr>
            <w:tcW w:w="67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Issuance of common stock upon exercise of outstanding stock options under the Amended and Restated 2016 Stock</w:t>
            </w:r>
          </w:p>
        </w:tc>
        <w:tc>
          <w:tcPr>
            <w:tcW w:w="2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19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 and the Amended and Restated 2019 Omnibus Equity Incentive Plan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3,239,642</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815,357</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outstanding warrants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43,952,783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44,741,142</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available under the Amended and Restated 2019 Omnibus Equity Incentive Plan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2,042,153</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466,438</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issuance under the 2019 Employee Stock Purchase Plan</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911,342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19,480</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reserved under the Sales Agreement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27,951,416</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29,060,003</w:t>
            </w:r>
          </w:p>
        </w:tc>
      </w:tr>
      <w:tr>
        <w:trPr>
          <w:trHeight w:val="171"/>
        </w:trPr>
        <w:tc>
          <w:tcPr>
            <w:tcW w:w="6700" w:type="dxa"/>
            <w:vAlign w:val="bottom"/>
          </w:tcPr>
          <w:p>
            <w:pPr>
              <w:spacing w:after="0"/>
              <w:rPr>
                <w:sz w:val="14"/>
                <w:szCs w:val="1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78,097,336</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75,102,420</w:t>
            </w:r>
          </w:p>
        </w:tc>
      </w:tr>
      <w:tr>
        <w:trPr>
          <w:trHeight w:val="20"/>
        </w:trPr>
        <w:tc>
          <w:tcPr>
            <w:tcW w:w="67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we have 217,905,705 authorized shares of our common stock not subject to reserves and available for future issuance.</w:t>
      </w:r>
    </w:p>
    <w:p>
      <w:pPr>
        <w:spacing w:after="0" w:line="177" w:lineRule="exact"/>
        <w:rPr>
          <w:sz w:val="20"/>
          <w:szCs w:val="20"/>
          <w:color w:val="auto"/>
        </w:rPr>
      </w:pPr>
    </w:p>
    <w:p>
      <w:pPr>
        <w:ind w:right="9480" w:firstLine="5"/>
        <w:spacing w:after="0" w:line="506" w:lineRule="auto"/>
        <w:tabs>
          <w:tab w:leader="none" w:pos="141"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Equity Incentive Plans</w:t>
      </w:r>
    </w:p>
    <w:p>
      <w:pPr>
        <w:spacing w:after="0"/>
        <w:rPr>
          <w:sz w:val="20"/>
          <w:szCs w:val="20"/>
          <w:color w:val="auto"/>
        </w:rPr>
      </w:pPr>
      <w:r>
        <w:rPr>
          <w:rFonts w:ascii="Times New Roman" w:cs="Times New Roman" w:eastAsia="Times New Roman" w:hAnsi="Times New Roman"/>
          <w:sz w:val="14"/>
          <w:szCs w:val="14"/>
          <w:i w:val="1"/>
          <w:iCs w:val="1"/>
          <w:color w:val="auto"/>
        </w:rPr>
        <w:t>2016 Equity Incentive Plan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2016 Stock Incentive Plan (the 2016 Plan) provided for the grant of stock options, restricted shares of common stock, stock appreciation rights and dividend equivalent rights to employees, officers, members of the board of directors, consultants and advisors of the Company. Upon the adoption of our 2019 Plan, no further grants were permissible under the 2016 Plan and 46,280 authorized shares were transferred to the 2019 Plan and became issuable therefrom. Any options or awards outstanding under the 2016 Plan remained outstanding and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2019 Equity Incentive Plan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Board approved the Vistagen Therapeutics, Inc. 2019 Omnibus Equity Incentive Plan (the 2019 Plan) on May 27, 2019, and our stockholders adopted it and ratified all previously issued grants on September 5, 2019. The 2019 Plan provides for the grant of stock options, stock appreciation rights, restricted stock, restricted stock units and other stock-based awards.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28, 2021, our Board approved and, at our Annual Meeting of Stockholders on September 17, 2021, our stockholders approved certain amendments to the 2019 Plan (Amended 2019 Plan). Upon approval of the Amended 2019 Plan by our stockholders, the total number of shares authorized to be issued under the 2019 Plan increased to 600,000 shares. On May 29, 2024, our Board and stockholders approved certain amendments to the 2019 Plan (Amended and Restated 2019 Plan). Upon approval of the Amended and Restated 2019 Plan by our stockholders, the total number of shares authorized to be issued under the 2019 Plan increased to 5,000,000 shares.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there were 2,010,984 registered shares of our common stock remaining available for grant under the Amended and Restated 2019 Plan.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Awards granted under our equity plans expire no later than 10 years from the date of grant. Options and restricted stock granted to employees typically vest over a four-year period but may have been granted with different vesting terms.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our stock option activity for the year ended March 31, 2025 is as follows (in thousands, except share and per share data and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40" w:type="dxa"/>
            <w:vAlign w:val="bottom"/>
          </w:tcPr>
          <w:p>
            <w:pPr>
              <w:spacing w:after="0"/>
              <w:rPr>
                <w:sz w:val="13"/>
                <w:szCs w:val="13"/>
                <w:color w:val="auto"/>
              </w:rPr>
            </w:pPr>
          </w:p>
        </w:tc>
        <w:tc>
          <w:tcPr>
            <w:tcW w:w="14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8"/>
        </w:trPr>
        <w:tc>
          <w:tcPr>
            <w:tcW w:w="4460" w:type="dxa"/>
            <w:vAlign w:val="bottom"/>
          </w:tcPr>
          <w:p>
            <w:pPr>
              <w:spacing w:after="0"/>
              <w:rPr>
                <w:sz w:val="11"/>
                <w:szCs w:val="11"/>
                <w:color w:val="auto"/>
              </w:rPr>
            </w:pPr>
          </w:p>
        </w:tc>
        <w:tc>
          <w:tcPr>
            <w:tcW w:w="13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1"/>
                <w:szCs w:val="11"/>
                <w:color w:val="auto"/>
              </w:rPr>
            </w:pPr>
          </w:p>
        </w:tc>
        <w:tc>
          <w:tcPr>
            <w:tcW w:w="1100" w:type="dxa"/>
            <w:vAlign w:val="bottom"/>
          </w:tcPr>
          <w:p>
            <w:pPr>
              <w:jc w:val="center"/>
              <w:ind w:left="389"/>
              <w:spacing w:after="0" w:line="13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Term (Years)</w:t>
            </w:r>
          </w:p>
        </w:tc>
        <w:tc>
          <w:tcPr>
            <w:tcW w:w="140" w:type="dxa"/>
            <w:vAlign w:val="bottom"/>
          </w:tcPr>
          <w:p>
            <w:pPr>
              <w:spacing w:after="0"/>
              <w:rPr>
                <w:sz w:val="16"/>
                <w:szCs w:val="16"/>
                <w:color w:val="auto"/>
              </w:rPr>
            </w:pPr>
          </w:p>
        </w:tc>
        <w:tc>
          <w:tcPr>
            <w:tcW w:w="14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815,357</w:t>
            </w:r>
          </w:p>
        </w:tc>
        <w:tc>
          <w:tcPr>
            <w:tcW w:w="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2,493,700</w:t>
            </w:r>
          </w:p>
        </w:tc>
        <w:tc>
          <w:tcPr>
            <w:tcW w:w="134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(69,415)</w:t>
            </w:r>
          </w:p>
        </w:tc>
        <w:tc>
          <w:tcPr>
            <w:tcW w:w="134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3,239,642</w:t>
            </w:r>
          </w:p>
        </w:tc>
        <w:tc>
          <w:tcPr>
            <w:tcW w:w="134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March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1,370,909</w:t>
            </w:r>
          </w:p>
        </w:tc>
        <w:tc>
          <w:tcPr>
            <w:tcW w:w="1340" w:type="dxa"/>
            <w:vAlign w:val="bottom"/>
            <w:tcBorders>
              <w:bottom w:val="single" w:sz="8" w:color="CCEEFF"/>
            </w:tcBorders>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2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March 31, 2025</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vMerge w:val="continue"/>
          </w:tcPr>
          <w:p>
            <w:pPr>
              <w:spacing w:after="0"/>
              <w:rPr>
                <w:sz w:val="12"/>
                <w:szCs w:val="12"/>
                <w:color w:val="auto"/>
              </w:rPr>
            </w:pPr>
          </w:p>
        </w:tc>
        <w:tc>
          <w:tcPr>
            <w:tcW w:w="13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3,239,642</w:t>
            </w:r>
          </w:p>
        </w:tc>
        <w:tc>
          <w:tcPr>
            <w:tcW w:w="1340" w:type="dxa"/>
            <w:vAlign w:val="bottom"/>
            <w:gridSpan w:val="2"/>
          </w:tcPr>
          <w:p>
            <w:pPr>
              <w:jc w:val="right"/>
              <w:ind w:right="9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10.32</w:t>
            </w:r>
          </w:p>
        </w:tc>
        <w:tc>
          <w:tcPr>
            <w:tcW w:w="220" w:type="dxa"/>
            <w:vAlign w:val="bottom"/>
          </w:tcPr>
          <w:p>
            <w:pPr>
              <w:spacing w:after="0"/>
              <w:rPr>
                <w:sz w:val="12"/>
                <w:szCs w:val="12"/>
                <w:color w:val="auto"/>
              </w:rPr>
            </w:pPr>
          </w:p>
        </w:tc>
        <w:tc>
          <w:tcPr>
            <w:tcW w:w="1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fair value of stock options granted was estimated using the following assumptions: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1"/>
        </w:trPr>
        <w:tc>
          <w:tcPr>
            <w:tcW w:w="6240" w:type="dxa"/>
            <w:vAlign w:val="bottom"/>
          </w:tcPr>
          <w:p>
            <w:pPr>
              <w:spacing w:after="0"/>
              <w:rPr>
                <w:sz w:val="14"/>
                <w:szCs w:val="14"/>
                <w:color w:val="auto"/>
              </w:rPr>
            </w:pPr>
          </w:p>
        </w:tc>
        <w:tc>
          <w:tcPr>
            <w:tcW w:w="172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160" w:type="dxa"/>
            <w:vAlign w:val="bottom"/>
            <w:gridSpan w:val="5"/>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62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4.5%</w:t>
            </w: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6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Expected term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6.14</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6.08</w:t>
            </w:r>
          </w:p>
        </w:tc>
      </w:tr>
      <w:tr>
        <w:trPr>
          <w:trHeight w:val="180"/>
        </w:trPr>
        <w:tc>
          <w:tcPr>
            <w:tcW w:w="6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176.2%</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176.6%</w:t>
            </w:r>
          </w:p>
        </w:tc>
      </w:tr>
      <w:tr>
        <w:trPr>
          <w:trHeight w:val="201"/>
        </w:trPr>
        <w:tc>
          <w:tcPr>
            <w:tcW w:w="6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Dividend yield</w:t>
            </w:r>
          </w:p>
        </w:tc>
        <w:tc>
          <w:tcPr>
            <w:tcW w:w="1220" w:type="dxa"/>
            <w:vAlign w:val="bottom"/>
            <w:gridSpan w:val="2"/>
          </w:tcPr>
          <w:p>
            <w:pPr>
              <w:jc w:val="center"/>
              <w:ind w:left="1009"/>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left="1009"/>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spacing w:after="0"/>
              <w:rPr>
                <w:sz w:val="17"/>
                <w:szCs w:val="17"/>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recognized for all equity awards has been included in the consolidated statements of operations and comprehensive loss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8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360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6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6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309"/>
              <w:spacing w:after="0"/>
              <w:rPr>
                <w:sz w:val="20"/>
                <w:szCs w:val="20"/>
                <w:color w:val="auto"/>
              </w:rPr>
            </w:pPr>
            <w:r>
              <w:rPr>
                <w:rFonts w:ascii="Times New Roman" w:cs="Times New Roman" w:eastAsia="Times New Roman" w:hAnsi="Times New Roman"/>
                <w:sz w:val="14"/>
                <w:szCs w:val="14"/>
                <w:color w:val="auto"/>
              </w:rPr>
              <w:t>110</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for the years ended March 31, 2025 and 2024 was $3.45 and $4.40 per share, respectively. For the years ended March 31, 2025 and 2024, the total fair value of options vested was $4.0 million and $2.3 million, respectively. The aggregate intrinsic value of options exercised for the years ended March 31, 2025 and 2024 was $0. As of March 31, 2025, total compensation cost not yet recognized related to unvested stock options was $6.4 million, which is expected to be recognized over a weighted-average period of 2.1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2019 Employee Stock Purchase Plan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Board approved the Vistagen Therapeutics, Inc. 2019 Employee Stock Purchase Plan (the 2019 ESPP) on June 13, 2019. Our stockholders approved the 2019 ESPP at our annual meeting on September 5, 2019. A maximum of 33,334 shares of our common stock were originally reserved for purchase under the 2019 ESPP. In May 2024, the 2019 ESPP was amended to increase the shares authorized to be issued under the 2019 ESPP to 1,000,000 shares.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2019 ESPP permits eligible employees who elect to participate in an offering under the 2019 ESPP to have up to 15% of their eligible earnings withheld, subject to certain limitations, to purchase shares of common stock pursuant to the 2019 ESPP. The price of common stock purchased under the 2019 ESPP is equal to 85% of the lower of the fair market value of the common stock at the commencement date of each offering period or the relevant date of purchase. Each offering period is six months, with new offering periods commencing every six months on or about the dates of January 1 and July 1 of each year.</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March 31, 2025 and 2024, we issued 74,804 and 4,843 shares, respectively, of common stock in connection with the 2019 ESPP. As of March 31, 2025, there were 911,342 shares available for future purchase under the 2019 ESPP.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March 31, 2025 and 2024, we recognized an immaterial amount of expense under the 2019 ESPP.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had no current or deferred federal and state income tax expense or benefit for the year ended March 31, 2025, because we generated net operating losses, and currently management does not believe it is more likely than not that the net operating losses will be realized.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(benefit) differed from the amounts computed by applying the statutory federal income tax rate of 21% to pretax income (loss) as a result of the following:</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22860</wp:posOffset>
            </wp:positionV>
            <wp:extent cx="206184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expected tax benefit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of warrant modifications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effect of research and development credits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of stock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effect of other non-deductible items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0.03 %</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 net operating loss carryforwards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 (federal only)</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18.45 %</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0.60 %</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669"/>
              <w:spacing w:after="0"/>
              <w:rPr>
                <w:sz w:val="20"/>
                <w:szCs w:val="20"/>
                <w:color w:val="auto"/>
              </w:rPr>
            </w:pPr>
            <w:r>
              <w:rPr>
                <w:rFonts w:ascii="Times New Roman" w:cs="Times New Roman" w:eastAsia="Times New Roman" w:hAnsi="Times New Roman"/>
                <w:sz w:val="14"/>
                <w:szCs w:val="14"/>
                <w:color w:val="auto"/>
              </w:rPr>
              <w:t>111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74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0" w:type="dxa"/>
            <w:vAlign w:val="bottom"/>
            <w:tcBorders>
              <w:bottom w:val="single" w:sz="8" w:color="9A9A9A"/>
            </w:tcBorders>
          </w:tcPr>
          <w:p>
            <w:pPr>
              <w:spacing w:after="0"/>
              <w:rPr>
                <w:sz w:val="6"/>
                <w:szCs w:val="6"/>
                <w:color w:val="auto"/>
              </w:rPr>
            </w:pPr>
          </w:p>
        </w:tc>
        <w:tc>
          <w:tcPr>
            <w:tcW w:w="69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165"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92"/>
        </w:trPr>
        <w:tc>
          <w:tcPr>
            <w:tcW w:w="7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1"/>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loss carryovers</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46,463</w:t>
            </w:r>
          </w:p>
        </w:tc>
      </w:tr>
      <w:tr>
        <w:trPr>
          <w:trHeight w:val="20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Basis differences in property and equipment</w:t>
            </w: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credit carryforwards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r>
      <w:tr>
        <w:trPr>
          <w:trHeight w:val="201"/>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research and development costs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w:t>
            </w:r>
          </w:p>
        </w:tc>
      </w:tr>
      <w:tr>
        <w:trPr>
          <w:trHeight w:val="201"/>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9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Accruals and reserves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98"/>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60,541</w:t>
            </w:r>
          </w:p>
        </w:tc>
      </w:tr>
      <w:tr>
        <w:trPr>
          <w:trHeight w:val="19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(77,681)</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(60,521)</w:t>
            </w:r>
          </w:p>
        </w:tc>
      </w:tr>
      <w:tr>
        <w:trPr>
          <w:trHeight w:val="198"/>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Basis differences in property and equipment</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7"/>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$17.2 million and $1.3 million during the fiscal years ended March 31, 2025 and 2024, respectively.</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March 31, 2025, we had U.S. federal net operating loss carryforwards of approximately $229.2 million. Federal net operating loss carryforwards of approximately $82.1 million generated through our fiscal year ended March 31, 2018 will expire in our fiscal years ending March 31, 2025 through March 31, 2038. Federal net operating loss carryforwards of approximately $147.1 million generated in fiscal years ending after March 31, 2018 will carry forward indefinitely, but are subject to an 80% taxable income limitation. As of March 31, 2025, we had state net operating loss carryforwards of approximately $66.6 million, which will expire in fiscal years ending in 2029 through 2045. We also have federal and state research and development tax credit carryforwards of approximately $7.6 million and $2.0 million, respectively. The federal tax credits will expire at various dates beginning with our fiscal year ending March 31, 2029, unless previously utilized. The state tax credits do not expire and will carry forward indefinitely until utilized.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Tax Cuts and Jobs Act of 2017 (TCJA) made a significant change to Internal Revenue Code Section 174 that went into effect for taxable years beginning after December 31, 2021. The change eliminated the ability to currently deduct research and development costs. Instead, these costs must be capitalized and amortized. As a result, we capitalized research and development costs of approximately $38.1 million for tax purposes for the year ended March 31, 2025.</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U.S. federal and state tax laws include substantial restrictions on the utilization of net operating loss carryforwards in the event of a change in a corporation's ownership. We have not performed a change in ownership analysis since our inception in 1998, and accordingly, some or all of our net operating loss carryforwards may not be available to offset future taxable income, if any.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file income tax returns in the U.S. federal, and various U.S. state jurisdictions. We are subject to U.S. federal and state income tax examinations by tax authorities for tax years 2004 through 2025 due to net operating losses that are being carried forward for tax purposes, but we are not currently under examination by tax authorities in any jurisdiction.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unrecognized tax benefits at March 31, 2025 and 2024 relate entirely to research and development tax credits. The total amount of unrecognized tax benefits at March 31, 2025 and 2024 is $2.4 million and $4.9 million, respectively. If recognized, none of the unrecognized tax benefits would impact our effective tax rate. The following table summarizes the activity related to our unrecognized tax benefits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00" w:type="dxa"/>
            <w:vAlign w:val="bottom"/>
            <w:tcBorders>
              <w:bottom w:val="single" w:sz="8" w:color="auto"/>
            </w:tcBorders>
          </w:tcPr>
          <w:p>
            <w:pPr>
              <w:spacing w:after="0"/>
              <w:rPr>
                <w:sz w:val="16"/>
                <w:szCs w:val="16"/>
                <w:color w:val="auto"/>
              </w:rPr>
            </w:pPr>
          </w:p>
        </w:tc>
      </w:tr>
      <w:tr>
        <w:trPr>
          <w:trHeight w:val="192"/>
        </w:trPr>
        <w:tc>
          <w:tcPr>
            <w:tcW w:w="7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19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benefit - beginning of period</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1,283</w:t>
            </w:r>
          </w:p>
        </w:tc>
      </w:tr>
      <w:tr>
        <w:trPr>
          <w:trHeight w:val="196"/>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period position increases (decreases)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3,648</w:t>
            </w:r>
          </w:p>
        </w:tc>
      </w:tr>
      <w:tr>
        <w:trPr>
          <w:trHeight w:val="20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tax position increases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benefit - end of period</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4,931</w:t>
            </w:r>
          </w:p>
        </w:tc>
      </w:tr>
      <w:tr>
        <w:trPr>
          <w:trHeight w:val="20"/>
        </w:trPr>
        <w:tc>
          <w:tcPr>
            <w:tcW w:w="7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policy is to recognize interest and penalties related to income taxes as components of interest expense and other expense, respectively. We incurred no interest or penalties related to unrecognized tax benefits in the years ended March 31, 2025 or 2024. We do not anticipate any significant changes in our uncertain tax positions within twelve months of this reporting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Sublicense and Collaborative Agreements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changes in contract assets and liabilities during the year ended March 31, 2025 (in thousands). Contract acquisition costs are included as a component of other assets on our consolidated balance sheets.</w:t>
      </w:r>
    </w:p>
    <w:p>
      <w:pPr>
        <w:spacing w:after="0" w:line="13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80" w:type="dxa"/>
            <w:vAlign w:val="bottom"/>
          </w:tcPr>
          <w:p>
            <w:pPr>
              <w:spacing w:after="0"/>
              <w:rPr>
                <w:sz w:val="13"/>
                <w:szCs w:val="13"/>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3"/>
                <w:szCs w:val="13"/>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3"/>
                <w:szCs w:val="13"/>
                <w:color w:val="auto"/>
              </w:rPr>
            </w:pPr>
          </w:p>
        </w:tc>
        <w:tc>
          <w:tcPr>
            <w:tcW w:w="15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6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AffaMed Agreement</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June 2020, we entered into a license and collaboration agreement (the AffaMed Agreement) with EverInsight Therapeutics Inc., a company incorporated under the laws of the British Virgin Islands, now AffaMed Therapeutics, Inc. (AffaMed), pursuant to which we granted AffaMed an exclusive license to develop and commercialize fasedienol for social anxiety disorder (SAD) and potentially other anxiety-related disorders in Greater China, South Korea and Southeast Asia (which includes Indonesia, Malaysia, Philippines, Thailand and Vietnam) (collectively, the Territory). AffaMed is responsible for all costs related to developing, obtaining regulatory approval of, and commercializing fasedienol for treatment of SAD, and potentially other anxiety-related indications, in the Territory. A joint development committee has been established between AffaMed and us to coordinate and review the development and commercialization plans with respect to fasedienol in the Territory.</w:t>
      </w:r>
    </w:p>
    <w:p>
      <w:pPr>
        <w:spacing w:after="0" w:line="3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are responsible for pursuing clinical development and regulatory submissions of fasedienol for acute treatment of anxiety in adults with SAD, and potentially other anxiety-related indications, in the United States on a ‘‘best efforts’’ basis, with no guarantee of success. AffaMed may participate in the Phase 3 global clinical trial of fasedienol and will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 but retain exclusive development and commercialization rights for fasedienol in the U.S. and throughout the rest of the world outside the Territory.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the AffaMed Agreement, AffaMed paid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revenue as the combined performance obligation is satisfied over time using an input method.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2025 and 2024, we had short-term deferred revenue of $1.3 million and $0.8 million, respectively, and long-term deferred revenue of $0.4 million and $1.4 million, respectively, related to the Affamed Agreement. During the year ended March 31, 2025, we recognized revenue of $0.5 million related to the performance obligation under the AffaMed Agreement, as compared to $0.9 million during the year ended March 31, 2024, all of which was included in the liability balance at the beginning of the period. The remaining deferred revenue under the AffaMed Agreement will be recognized over the expected remaining contractual term.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Acquisition Costs Related to the Affamed Agreement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2020, we made cash payments to Pherin aggregating $0.4 million for sublicense fees and consulting services exclusively related to the AffaMed Agreement. Additionally, in 2020 we issued 7,788 unregistered shares of our common stock, valued at $0.1 million, as partial compensation for consulting services exclusively related to the AffaMed Agreement. These sublicense fees and consulting payments and the fair value of the common stock issued, aggregating $0.5 million, were capitalized as other assets in our Consolidated Balance Sheets. Amortization expense related to the contract acquisition costs was immaterial for the years ended March 31, 2025 and 2024.</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Fuji Pharma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September 1, 2023, we entered into an Exclusive Negotiation Agreement (the Negotiation Agreement) with Fuji Pharma Co., Ltd. (Fuji Pharma),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PH80 in Japan. PH80, our clinical-stage pherine product candidate focused primarily on the treatment of vasomotor symptoms (hot flashes) associated with menopause (the Potential Definitive Agreement). The Negotiation Agreement provides for an exclusive negotiation period beginning on the date of formal written notice being received by Fuji Pharma that we have selected a contract development and manufacturing organization to conduct preclinical toxicology studies for PH80 (the Payment Event), and terminating on the later to occur of (i) fourteen (14) months from the date of the Payment Event or (ii) ninety (90) days from the date that the U.S. Food and Drug Administration accepts our PH80 U.S. Investigational New Drug (IND) application for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development of PH80 in the U.S. for the treatment of vasomotor symptoms (hot flashes) due to menopause (the Exclusive Negotiation Period).</w:t>
      </w:r>
    </w:p>
    <w:p>
      <w:pPr>
        <w:spacing w:after="0" w:line="3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As consideration for the Exclusive Negotiation Period, Fuji Pharma agreed to make a payment to us of $1.5 million (Purchase Price),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2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2025, the entire amount remaining unrecognized under the Negotiation Agreement of $1.3 million was classified as short term, as a component of deferred revenue, current portion, on the consolidated balance sheets. During the year ended March 31, 2025, we recognized no revenue under the Negotiation Agreement. During the year ended March 31, 2024, we recognized an immaterial amount of revenue under the Negotiation Agreement. The remaining deferred revenue under the Negotiation Agreement will be recognized upon termination of the Exclusive Negotiation Period, or accounted for as a creditable prepayment under ASC 606, should an exclusive license agreement be reached with Fuji Pharma prior to the date of termination.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During the year ended March 31, 2024, we recognized an immaterial amount of revenue, at the inception of the Negotiation Agreement. The remaining deferred revenue under the Negotiation Agreement will be recognized upon termination of the Exclusive Negotiation Period, which is currently expected in January 2026, or accounted for as a creditable prepayment under ASC 606, should an exclusive license agreement be reached with Fuji Pharma prior to the date of termination. Remaining deferred revenue under the Negotiation Agreement of $1.3 million is reflected as deferred revenue current-portion on the consolidated balance sheets as of March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In August 2024, the agreement was amended to extend the expiration date to March 31, 2025, and subsequently amended to extend the expiration to September 30, 2025. During the years ended March 31, 2025 and 2024, we recorded expense under the agreement of $120,000 and $170,000, respectively.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2022, we entered into a consulting agreement with FitzPatrick Co. LLC, a consulting firm for which Margaret FitzPatrick, an independent member of our Board of Directors, is Managing Director, to provide corporate development and public relations advisory services. The consulting agreement, as amended, was set to expire on December 31, 2023. However, the Company and FitzPatrick Co. LLC mutually agreed to conclude the term of the FitzPatrick Co. Consulting Agreement effective October 1, 2023, as all matters set forth in the statement of work were completed as of that date. We recorded expense of $0 and $70,000 for the years ended March 31, 2025 and 2024, respectively.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consulting agreement expired on March 31, 2025. We recorded expense under the consulting agreement of $0 and $200,000 for the years ended March 31, 2025 and 2024, respectively. Ms. Cunningham remains a member of our Board of Directors.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Contingencies, Guarantees and Indemnifications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we may be party to litigation, arbitration or other legal proceedings in the course of our business, such as the civil action filed against the Company and its Board of Directors, certain of its executive officers, professional services and financial advisors, and industry analysts in the United States District Court for the Northern District of California (Case No. 4:25-cv-01510) on February 13, 2025, by two purported stockholders seeking compensatory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punitive damages, as well as fees and costs, which the Company believes are wholly without merit, and intends to vigorously defend itself.</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Segment Information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operates in one operating segment, which includes all activities related to the discovery and development of our clinical and preclinical product candidates, for the purposes of assessing performance, making operating decisions, and allocating our resources. Our chief operating decision maker (CODM) is its chief executive officer, who considers internal budgets and cash forecast models to guide resource allocation and evaluate cash requirements associated with conducting research and development activities, which includes evaluating the progress of ongoing clinical trials and the planning and execution of current and future research and development activities. The CODM also monitors the cash, cash equivalents and short-term investments as reported on the our consolidated balance sheets to determine the sufficiency of cash resources to support those functions. The measure of segment assets is reported on the consolidated balance sheets as total consolidated assets, and segment loss is reflected as net loss in the our consolidated statements of operations and comprehensive loss, effectively mirroring the our overall financial position due to its single-segment structure.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Subsequent Events</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evaluated subsequent events through the date on which the consolidated financial statements were issued, and have concluded that no subsequent events have occurred that require disclosure.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(our CEO) and principal financial officer (our CFO), evaluated the effectiveness of our disclosure controls and procedures (as defined in Exchange Act Rules 13a-15(e) and 15d-15(e)) as of March 31, 2025. Based upon that evaluation, our CEO and CFO concluded that, as of such date, our disclosure controls and procedures were effective to ensure that information required to be disclosed in reports filed by us under the Securities Exchange Act of 1934 is recorded, processed, summarized and reported within the required time periods and is accumulated and communicated to our management, including our CEO and CFO, as appropriate, to allow timely decisions regarding required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Annual Report on Internal Control Over Financial Reporting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such term is defined in the U.S. Securities Exchange Act of 1934, Rules 13a-15(f). Management assessed the effectiveness of our internal control over financial reporting as of March 31, 2025 based on criteria set forth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issued by the Committee of Sponsoring Organizations of the Treadway Commission (COSO) (the COSO Framework). Based on an assessment of those criteria, management concluded that, as of March 31, 2025, our internal control over financial reporting was effective.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Registered Public Accounting Firm</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registered independent public accounting firm regarding internal control over financial reporting pursuant to SEC rules for smaller reporting companies that permit us to provide only management’s report 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officers or directors, as defined in Rule 16a-1(f), adopted and/or terminated a “Rule 10b5-1 trading arrangement” or a “non-Rule 10b5-1 trading arrangement,” as defined in Regulation S-K Item 408, during the last fiscal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information that will be contained in our proxy statement related to our 2025 Annual Meeting of Stockholders, which we will file with the SEC on or before July 29,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information that will be contained in our proxy statement related to our 2025 Annual Meeting of Stockholders, which we will file with the SEC on or before July 29,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information that will be contained in our proxy statement related to our 2025 Annual Meeting of Stockholders, which we will file with the SEC on or before July 29,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information that will be contained in our proxy statement related to our 2025 Annual Meeting of Stockholders, which we will file with the SEC on or before July 29,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San Francisco, CA, Audit Firm ID: 185.</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information that will be contained in our proxy statement related to our 2025 Annual Meeting of Stockholders, which we will file with the SEC on or before July 29,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Index to Financial Statements under Item 8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(a)(2) Consolidated Financial Statement Schedules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in the Exhibit Index below are filed or incorporated by reference as part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None.</w:t>
            </w:r>
          </w:p>
        </w:tc>
        <w:tc>
          <w:tcPr>
            <w:tcW w:w="2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Pr>
          <w:p>
            <w:pPr>
              <w:jc w:val="center"/>
              <w:ind w:right="1329"/>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gridSpan w:val="5"/>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9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 w:type="dxa"/>
            <w:vAlign w:val="bottom"/>
            <w:gridSpan w:val="5"/>
          </w:tcPr>
          <w:p>
            <w:pPr>
              <w:jc w:val="center"/>
              <w:ind w:left="489"/>
              <w:spacing w:after="0" w:line="155"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1.</w:t>
              </w:r>
              <w:r>
                <w:rPr>
                  <w:rFonts w:ascii="Times New Roman" w:cs="Times New Roman" w:eastAsia="Times New Roman" w:hAnsi="Times New Roman"/>
                  <w:sz w:val="14"/>
                  <w:szCs w:val="14"/>
                  <w:u w:val="single" w:color="auto"/>
                  <w:color w:val="0000FF"/>
                </w:rPr>
                <w:t>1</w:t>
              </w:r>
            </w:hyperlink>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98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dated May 14, 2021, by and between Vistagen Therapeutics, Inc. and Jefferies LLC, incorporated by reference from Exhibit 1.1 to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Company’s Current Report on Form 8-K filed on May 14, 2021.</w:t>
            </w:r>
          </w:p>
        </w:tc>
        <w:tc>
          <w:tcPr>
            <w:tcW w:w="0" w:type="dxa"/>
            <w:vAlign w:val="bottom"/>
          </w:tcPr>
          <w:p>
            <w:pPr>
              <w:spacing w:after="0"/>
              <w:rPr>
                <w:sz w:val="1"/>
                <w:szCs w:val="1"/>
                <w:color w:val="auto"/>
              </w:rPr>
            </w:pPr>
          </w:p>
        </w:tc>
      </w:tr>
      <w:tr>
        <w:trPr>
          <w:trHeight w:val="22"/>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tcBorders>
              <w:top w:val="single" w:sz="8" w:color="auto"/>
            </w:tcBorders>
            <w:gridSpan w:val="4"/>
          </w:tcPr>
          <w:p>
            <w:pPr>
              <w:jc w:val="center"/>
              <w:ind w:left="469"/>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w:t>
              </w:r>
              <w:r>
                <w:rPr>
                  <w:rFonts w:ascii="Times New Roman" w:cs="Times New Roman" w:eastAsia="Times New Roman" w:hAnsi="Times New Roman"/>
                  <w:sz w:val="14"/>
                  <w:szCs w:val="14"/>
                  <w:u w:val="single" w:color="auto"/>
                  <w:color w:val="0000FF"/>
                </w:rPr>
                <w:t>2</w:t>
              </w:r>
            </w:hyperlink>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Underwriting Agreement, dated as of October 2, 2023, by and among the Company, Jefferies LLC, Stifel, Nicolaus &amp; Company, Incorporated and William Blair &amp; Company,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top w:val="single" w:sz="8" w:color="0000FF"/>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L.L.C., incorporated by reference from Exhibit 1.1 to the Company’s Current Report on Form 8-K filed on October 4, 2023.</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1*</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Agreement and Plan of Merger by and among Excaliber Enterprises, Ltd., Vistagen Therapeutics, Inc. and Excaliber Merger Subsidiary, Inc.</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820" w:type="dxa"/>
            <w:vAlign w:val="bottom"/>
            <w:gridSpan w:val="5"/>
          </w:tcPr>
          <w:p>
            <w:pPr>
              <w:jc w:val="center"/>
              <w:ind w:left="489"/>
              <w:spacing w:after="0" w:line="15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Agreement and Plan of Merger, by and among VistaGen Therapeutics, Inc., VTGN Merger Sub, Inc., Pherin Pharmaceuticals, Inc. and Kevin McCarthy dated December 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2022, incorporated by reference from Exhibit 2.1 to the Company’s Current Report on Form 8-K, dated December 21, 2022.</w:t>
            </w:r>
          </w:p>
        </w:tc>
        <w:tc>
          <w:tcPr>
            <w:tcW w:w="0" w:type="dxa"/>
            <w:vAlign w:val="bottom"/>
          </w:tcPr>
          <w:p>
            <w:pPr>
              <w:spacing w:after="0"/>
              <w:rPr>
                <w:sz w:val="1"/>
                <w:szCs w:val="1"/>
                <w:color w:val="auto"/>
              </w:rPr>
            </w:pPr>
          </w:p>
        </w:tc>
      </w:tr>
      <w:tr>
        <w:trPr>
          <w:trHeight w:val="155"/>
        </w:trPr>
        <w:tc>
          <w:tcPr>
            <w:tcW w:w="820" w:type="dxa"/>
            <w:vAlign w:val="bottom"/>
            <w:gridSpan w:val="5"/>
          </w:tcPr>
          <w:p>
            <w:pPr>
              <w:jc w:val="center"/>
              <w:ind w:left="489"/>
              <w:spacing w:after="0" w:line="155"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4</w:t>
              </w:r>
            </w:hyperlink>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Articles of Merger filed with the Nevada Secretary of State on May 24, 2011, incorporated by reference from Exhibit 3.1 to the Company’s Current Report on Form 8-K, filed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on May 31, 2011.</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10</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Restated Articles of Incorporation of VistaGen Therapeutics, Inc., dated August 16, 2016, incorporated by reference from Exhibit 3.1 to the Company’s Current Report 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8-K, filed on August 17, 2016.</w:t>
            </w:r>
          </w:p>
        </w:tc>
        <w:tc>
          <w:tcPr>
            <w:tcW w:w="0" w:type="dxa"/>
            <w:vAlign w:val="bottom"/>
          </w:tcPr>
          <w:p>
            <w:pPr>
              <w:spacing w:after="0"/>
              <w:rPr>
                <w:sz w:val="1"/>
                <w:szCs w:val="1"/>
                <w:color w:val="auto"/>
              </w:rPr>
            </w:pPr>
          </w:p>
        </w:tc>
      </w:tr>
      <w:tr>
        <w:trPr>
          <w:trHeight w:val="155"/>
        </w:trPr>
        <w:tc>
          <w:tcPr>
            <w:tcW w:w="820" w:type="dxa"/>
            <w:vAlign w:val="bottom"/>
            <w:gridSpan w:val="5"/>
          </w:tcPr>
          <w:p>
            <w:pPr>
              <w:jc w:val="center"/>
              <w:ind w:left="489"/>
              <w:spacing w:after="0" w:line="155"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11</w:t>
              </w:r>
            </w:hyperlink>
          </w:p>
        </w:tc>
        <w:tc>
          <w:tcPr>
            <w:tcW w:w="5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Second Amended and Restated Bylaws of VistaGen Therapeutics, Inc., dated August 16, 2016, incorporated by reference from Exhibit 3.2 to the Company’s Current Report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on Form 8-K, filed on August 17, 2016.</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12</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Certificate of Amendment to the Restated and Amended Articles of Incorporation of VistaGen Therapeutics, Inc., dated September 15, 2017; incorporated by reference from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3.1 to the Company’s Current Report on Form 8-K, filed on September 20, 2017.</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13</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Certificate of Amendment to the Restated and Amended Articles of Incorporation, as amended, of VistaGen Therapeutics, Inc., dated September 6 ,2019; incorporated 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reference from Exhibit 3.1 to the Company’s Current Report on Form 8-K, filed on September 6, 2019.</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15</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Certificate of Amendment to the Restated and Amended Articles of Incorporation, as amended, of VistaGen Therapeutics, Inc., dated March 5, 2021, incorporated 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reference from Exhibit 3.1 to the Company’s Current Report on Form 8-K, filed on March 5, 2021.</w:t>
            </w:r>
          </w:p>
        </w:tc>
        <w:tc>
          <w:tcPr>
            <w:tcW w:w="0" w:type="dxa"/>
            <w:vAlign w:val="bottom"/>
          </w:tcPr>
          <w:p>
            <w:pPr>
              <w:spacing w:after="0"/>
              <w:rPr>
                <w:sz w:val="1"/>
                <w:szCs w:val="1"/>
                <w:color w:val="auto"/>
              </w:rPr>
            </w:pPr>
          </w:p>
        </w:tc>
      </w:tr>
      <w:tr>
        <w:trPr>
          <w:trHeight w:val="155"/>
        </w:trPr>
        <w:tc>
          <w:tcPr>
            <w:tcW w:w="1380" w:type="dxa"/>
            <w:vAlign w:val="bottom"/>
            <w:gridSpan w:val="6"/>
          </w:tcPr>
          <w:p>
            <w:pPr>
              <w:jc w:val="center"/>
              <w:spacing w:after="0" w:line="155"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16</w:t>
              </w:r>
            </w:hyperlink>
          </w:p>
        </w:tc>
        <w:tc>
          <w:tcPr>
            <w:tcW w:w="20" w:type="dxa"/>
            <w:vAlign w:val="bottom"/>
            <w:shd w:val="clear" w:color="auto" w:fill="000000"/>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Amendment No. 2 to the Second Amended and Restated Bylaws of Vistagen Therapeutics, Inc., incorporated by reference from Exhibit 3.1 to the Company’s Current Report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on Form 8-K, filed on August 31, 2022.</w:t>
            </w:r>
          </w:p>
        </w:tc>
        <w:tc>
          <w:tcPr>
            <w:tcW w:w="0" w:type="dxa"/>
            <w:vAlign w:val="bottom"/>
          </w:tcPr>
          <w:p>
            <w:pPr>
              <w:spacing w:after="0"/>
              <w:rPr>
                <w:sz w:val="1"/>
                <w:szCs w:val="1"/>
                <w:color w:val="auto"/>
              </w:rPr>
            </w:pPr>
          </w:p>
        </w:tc>
      </w:tr>
      <w:tr>
        <w:trPr>
          <w:trHeight w:val="70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00" w:type="dxa"/>
            <w:vAlign w:val="bottom"/>
            <w:gridSpan w:val="2"/>
          </w:tcPr>
          <w:p>
            <w:pPr>
              <w:jc w:val="right"/>
              <w:ind w:right="5469"/>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0"/>
        </w:trPr>
        <w:tc>
          <w:tcPr>
            <w:tcW w:w="840" w:type="dxa"/>
            <w:vAlign w:val="bottom"/>
            <w:tcBorders>
              <w:top w:val="single" w:sz="8" w:color="auto"/>
            </w:tcBorders>
            <w:gridSpan w:val="6"/>
          </w:tcPr>
          <w:p>
            <w:pPr>
              <w:jc w:val="center"/>
              <w:ind w:left="469"/>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17</w:t>
              </w:r>
            </w:hyperlink>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right w:val="single" w:sz="8" w:color="auto"/>
            </w:tcBorders>
          </w:tcPr>
          <w:p>
            <w:pPr>
              <w:spacing w:after="0"/>
              <w:rPr>
                <w:sz w:val="14"/>
                <w:szCs w:val="14"/>
                <w:color w:val="auto"/>
              </w:rPr>
            </w:pPr>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Certificate of Amendment to the Restated and Amended Articles of Incorporation, as amended, of Vistagen Therapeutics, Inc., dated June 6, 2023, incorporated by reference</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from Exhibit 3.1 to the Current Report on Form 8-K, filed June 6, 2023.</w:t>
            </w:r>
          </w:p>
        </w:tc>
      </w:tr>
      <w:tr>
        <w:trPr>
          <w:trHeight w:val="145"/>
        </w:trPr>
        <w:tc>
          <w:tcPr>
            <w:tcW w:w="840" w:type="dxa"/>
            <w:vAlign w:val="bottom"/>
            <w:gridSpan w:val="6"/>
          </w:tcPr>
          <w:p>
            <w:pPr>
              <w:jc w:val="center"/>
              <w:ind w:left="469"/>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10</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Form of Pre-Funded Warrant (October 2023 Public Offering), incorporated by reference from Exhibit 4.1 to the Company’s Current Report on Form 8-K filed on October 4,</w:t>
            </w:r>
          </w:p>
        </w:tc>
      </w:tr>
      <w:tr>
        <w:trPr>
          <w:trHeight w:val="187"/>
        </w:trPr>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top w:val="single" w:sz="8" w:color="0000FF"/>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2023.</w:t>
            </w:r>
          </w:p>
        </w:tc>
      </w:tr>
      <w:tr>
        <w:trPr>
          <w:trHeight w:val="145"/>
        </w:trPr>
        <w:tc>
          <w:tcPr>
            <w:tcW w:w="840" w:type="dxa"/>
            <w:vAlign w:val="bottom"/>
            <w:gridSpan w:val="6"/>
          </w:tcPr>
          <w:p>
            <w:pPr>
              <w:jc w:val="center"/>
              <w:ind w:left="469"/>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20</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Form of T1 Warrant (October 2023 Public Offering), incorporated by reference from Exhibit 4.2 to the Company’s Current Report on Form 8-K filed on October 4, 2023.</w:t>
            </w:r>
          </w:p>
        </w:tc>
      </w:tr>
      <w:tr>
        <w:trPr>
          <w:trHeight w:val="33"/>
        </w:trPr>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139"/>
        </w:trPr>
        <w:tc>
          <w:tcPr>
            <w:tcW w:w="840" w:type="dxa"/>
            <w:vAlign w:val="bottom"/>
            <w:gridSpan w:val="6"/>
          </w:tcPr>
          <w:p>
            <w:pPr>
              <w:jc w:val="center"/>
              <w:ind w:left="469"/>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30</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Form of T2 Warrant (October 2023 Public Offering), incorporated by reference from Exhibit 4.3 to the Company’s Current Report on Form 8-K filed on October 4, 2023.</w:t>
            </w:r>
          </w:p>
        </w:tc>
      </w:tr>
      <w:tr>
        <w:trPr>
          <w:trHeight w:val="33"/>
        </w:trPr>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139"/>
        </w:trPr>
        <w:tc>
          <w:tcPr>
            <w:tcW w:w="840" w:type="dxa"/>
            <w:vAlign w:val="bottom"/>
            <w:gridSpan w:val="6"/>
          </w:tcPr>
          <w:p>
            <w:pPr>
              <w:jc w:val="center"/>
              <w:ind w:left="469"/>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31</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Description of Registrant's Securities, incorporated by reference from Exhibit 4.31 to the Company's Annual Report on Form 10-K filed on June 11, 2024.</w:t>
            </w:r>
          </w:p>
        </w:tc>
      </w:tr>
      <w:tr>
        <w:trPr>
          <w:trHeight w:val="33"/>
        </w:trPr>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150"/>
        </w:trPr>
        <w:tc>
          <w:tcPr>
            <w:tcW w:w="940" w:type="dxa"/>
            <w:vAlign w:val="bottom"/>
            <w:gridSpan w:val="8"/>
          </w:tcPr>
          <w:p>
            <w:pPr>
              <w:jc w:val="center"/>
              <w:ind w:left="369"/>
              <w:spacing w:after="0" w:line="150" w:lineRule="exact"/>
              <w:rPr>
                <w:rFonts w:ascii="Times New Roman" w:cs="Times New Roman" w:eastAsia="Times New Roman" w:hAnsi="Times New Roman"/>
                <w:sz w:val="14"/>
                <w:szCs w:val="14"/>
                <w:color w:val="0000FF"/>
                <w:w w:val="98"/>
              </w:rPr>
            </w:pPr>
            <w:hyperlink r:id="rId165">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40*</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Employment Agreement, by and between, Vistagen and Shawn K. Singh, dated April 28, 2010, as amended May 9, 2011.</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7"/>
          </w:tcPr>
          <w:p>
            <w:pPr>
              <w:jc w:val="center"/>
              <w:ind w:left="429"/>
              <w:spacing w:after="0" w:line="150" w:lineRule="exact"/>
              <w:rPr>
                <w:rFonts w:ascii="Times New Roman" w:cs="Times New Roman" w:eastAsia="Times New Roman" w:hAnsi="Times New Roman"/>
                <w:sz w:val="14"/>
                <w:szCs w:val="14"/>
                <w:color w:val="0000FF"/>
                <w:w w:val="95"/>
              </w:rPr>
            </w:pPr>
            <w:hyperlink r:id="rId166">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83</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Lease between Bayside Area Development, LLC and VistaGen Therapeutics, Inc. (California) dated April 24, 2013, incorporated by reference from Exhibit 10.83 to the</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Annual Report on Form 10-K filed July 18, 2013.</w:t>
            </w:r>
          </w:p>
        </w:tc>
      </w:tr>
      <w:tr>
        <w:trPr>
          <w:trHeight w:val="155"/>
        </w:trPr>
        <w:tc>
          <w:tcPr>
            <w:tcW w:w="880" w:type="dxa"/>
            <w:vAlign w:val="bottom"/>
            <w:gridSpan w:val="7"/>
          </w:tcPr>
          <w:p>
            <w:pPr>
              <w:jc w:val="center"/>
              <w:ind w:left="429"/>
              <w:spacing w:after="0" w:line="155" w:lineRule="exact"/>
              <w:rPr>
                <w:rFonts w:ascii="Times New Roman" w:cs="Times New Roman" w:eastAsia="Times New Roman" w:hAnsi="Times New Roman"/>
                <w:sz w:val="14"/>
                <w:szCs w:val="14"/>
                <w:color w:val="0000FF"/>
                <w:w w:val="95"/>
              </w:rPr>
            </w:pPr>
            <w:hyperlink r:id="rId167">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84</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effective May 20, 2013 between the Company and Jon S. Saxe, incorporated by reference from Exhibit 10.84 to the Company’s Annual Report on</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10-K filed on July 18, 2013.</w:t>
            </w:r>
          </w:p>
        </w:tc>
      </w:tr>
      <w:tr>
        <w:trPr>
          <w:trHeight w:val="155"/>
        </w:trPr>
        <w:tc>
          <w:tcPr>
            <w:tcW w:w="880" w:type="dxa"/>
            <w:vAlign w:val="bottom"/>
            <w:gridSpan w:val="7"/>
          </w:tcPr>
          <w:p>
            <w:pPr>
              <w:jc w:val="center"/>
              <w:ind w:left="429"/>
              <w:spacing w:after="0" w:line="155" w:lineRule="exact"/>
              <w:rPr>
                <w:rFonts w:ascii="Times New Roman" w:cs="Times New Roman" w:eastAsia="Times New Roman" w:hAnsi="Times New Roman"/>
                <w:sz w:val="14"/>
                <w:szCs w:val="14"/>
                <w:color w:val="0000FF"/>
                <w:w w:val="95"/>
              </w:rPr>
            </w:pPr>
            <w:hyperlink r:id="rId168">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85</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effective May 20, 2013 between the Company and Shawn K. Singh, incorporated by reference from Exhibit 10.85 to the Company’s Annual</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Report on Form 10-K filed on July 18, 2013.</w:t>
            </w:r>
          </w:p>
        </w:tc>
      </w:tr>
      <w:tr>
        <w:trPr>
          <w:trHeight w:val="155"/>
        </w:trPr>
        <w:tc>
          <w:tcPr>
            <w:tcW w:w="880" w:type="dxa"/>
            <w:vAlign w:val="bottom"/>
            <w:gridSpan w:val="7"/>
          </w:tcPr>
          <w:p>
            <w:pPr>
              <w:jc w:val="center"/>
              <w:ind w:left="429"/>
              <w:spacing w:after="0" w:line="155" w:lineRule="exact"/>
              <w:rPr>
                <w:rFonts w:ascii="Times New Roman" w:cs="Times New Roman" w:eastAsia="Times New Roman" w:hAnsi="Times New Roman"/>
                <w:sz w:val="14"/>
                <w:szCs w:val="14"/>
                <w:color w:val="0000FF"/>
                <w:w w:val="98"/>
              </w:rPr>
            </w:pPr>
            <w:hyperlink r:id="rId169">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112</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effective April 8, 2016 between the Company and Jerry B. Gin, incorporated by reference from Exhibit 10.112 to the Company’s Annual Report</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on Form 10-K filed on June 24, 2016.</w:t>
            </w:r>
          </w:p>
        </w:tc>
      </w:tr>
      <w:tr>
        <w:trPr>
          <w:trHeight w:val="155"/>
        </w:trPr>
        <w:tc>
          <w:tcPr>
            <w:tcW w:w="880" w:type="dxa"/>
            <w:vAlign w:val="bottom"/>
            <w:gridSpan w:val="7"/>
          </w:tcPr>
          <w:p>
            <w:pPr>
              <w:jc w:val="center"/>
              <w:ind w:left="429"/>
              <w:spacing w:after="0" w:line="155" w:lineRule="exact"/>
              <w:rPr>
                <w:rFonts w:ascii="Times New Roman" w:cs="Times New Roman" w:eastAsia="Times New Roman" w:hAnsi="Times New Roman"/>
                <w:sz w:val="14"/>
                <w:szCs w:val="14"/>
                <w:color w:val="0000FF"/>
                <w:w w:val="98"/>
              </w:rPr>
            </w:pPr>
            <w:hyperlink r:id="rId170">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116</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Second Amendment to Employment Agreement by and between VistaGen Therapeutics, Inc. and Shawn K. Singh, dated June 22, 2016, incorporated by reference from</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10.116 to the Company’s Annual Report on Form 10-K filed on June 24, 2016.</w:t>
            </w:r>
          </w:p>
        </w:tc>
      </w:tr>
      <w:tr>
        <w:trPr>
          <w:trHeight w:val="155"/>
        </w:trPr>
        <w:tc>
          <w:tcPr>
            <w:tcW w:w="880" w:type="dxa"/>
            <w:vAlign w:val="bottom"/>
            <w:gridSpan w:val="7"/>
          </w:tcPr>
          <w:p>
            <w:pPr>
              <w:jc w:val="center"/>
              <w:ind w:left="429"/>
              <w:spacing w:after="0" w:line="155" w:lineRule="exact"/>
              <w:rPr>
                <w:rFonts w:ascii="Times New Roman" w:cs="Times New Roman" w:eastAsia="Times New Roman" w:hAnsi="Times New Roman"/>
                <w:sz w:val="14"/>
                <w:szCs w:val="14"/>
                <w:color w:val="0000FF"/>
                <w:w w:val="98"/>
              </w:rPr>
            </w:pPr>
            <w:hyperlink r:id="rId171">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118</w:t>
              </w:r>
            </w:hyperlink>
          </w:p>
        </w:tc>
        <w:tc>
          <w:tcPr>
            <w:tcW w:w="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Second Amendment to Lease between Bayside Area Development and the Company, effective November 10, 2016, incorporated by reference from Exhibit 10.1 to the</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Quarterly Report on Form 10-Q filed on November 15, 2016.</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2">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122</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Amended and Restated 2016 Stock Incentive Plan (formerly the VistaGen Therapeutics, Inc. 2008 Stock Incentive Plan), incorporated by reference from Exhibit 10.122 to the</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Annual Report on Form 10-K filed on June 29, 2017.</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3">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135</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January 10, 2019, by and between the Company and Ann Cunningham, incorporated by reference from Exhibit 10.1 to the Company’s</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Report on Form 8-K filed on January 15, 2019.</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4">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139</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Vistagen Therapeutics, Inc. 2019 Omnibus Equity Incentive Plan, incorporated by reference from Exhibit 99.1 to the Company’s Registration Statement on Form S-8 filed on</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October 1, 2019.</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4">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140</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Vistagen Therapeutics, Inc. 2019 Employee Stock Purchase Plan, incorporated by reference from Exhibit 99.2 to the Company’s Registration Statement on Form S-8 filed on</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October 1, 2019.</w:t>
            </w:r>
          </w:p>
        </w:tc>
      </w:tr>
      <w:tr>
        <w:trPr>
          <w:trHeight w:val="155"/>
        </w:trPr>
        <w:tc>
          <w:tcPr>
            <w:tcW w:w="1400" w:type="dxa"/>
            <w:vAlign w:val="bottom"/>
            <w:tcBorders>
              <w:right w:val="single" w:sz="8" w:color="auto"/>
            </w:tcBorders>
            <w:gridSpan w:val="9"/>
          </w:tcPr>
          <w:p>
            <w:pPr>
              <w:jc w:val="center"/>
              <w:ind w:right="20"/>
              <w:spacing w:after="0" w:line="155"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148</w:t>
              </w:r>
              <w:r>
                <w:rPr>
                  <w:rFonts w:ascii="Times New Roman" w:cs="Times New Roman" w:eastAsia="Times New Roman" w:hAnsi="Times New Roman"/>
                  <w:sz w:val="14"/>
                  <w:szCs w:val="14"/>
                  <w:color w:val="0000FF"/>
                </w:rPr>
                <w:t xml:space="preserve"> #</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License and Collaboration Agreement between VistaGen Therapeutics, Inc. and EverInsight Therapeutics Inc. incorporated by reference from Exhibit 10.1 to the Company’s</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Report on Form 8-K, filed June 26, 2020.</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6">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151</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April 26, 2021, by and between the Company and Joanne Curley, Ph.D. incorporated by reference from Exhibit 10.1 to the Company’s</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Report on Form 8-K filed on April 27, 2021.</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7">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152</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July 6, 2021, by and between the Company and Mary L. Rotunno, J.D. incorporated by reference from Exhibit 10.1 to the Company’s</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Report on Form 8-K, filed on July 8, 2021.</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8">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153</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July 21, 2021, by and between the Company and Margaret M. FitzPatrick incorporated by reference from Exhibit 10.1 to the Company’s</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Report on Form 8-K filed on July 22, 2021.</w:t>
            </w:r>
          </w:p>
        </w:tc>
      </w:tr>
      <w:tr>
        <w:trPr>
          <w:trHeight w:val="155"/>
        </w:trPr>
        <w:tc>
          <w:tcPr>
            <w:tcW w:w="940" w:type="dxa"/>
            <w:vAlign w:val="bottom"/>
            <w:gridSpan w:val="8"/>
          </w:tcPr>
          <w:p>
            <w:pPr>
              <w:jc w:val="center"/>
              <w:ind w:left="369"/>
              <w:spacing w:after="0" w:line="155" w:lineRule="exact"/>
              <w:rPr>
                <w:rFonts w:ascii="Times New Roman" w:cs="Times New Roman" w:eastAsia="Times New Roman" w:hAnsi="Times New Roman"/>
                <w:sz w:val="14"/>
                <w:szCs w:val="14"/>
                <w:color w:val="0000FF"/>
                <w:w w:val="98"/>
              </w:rPr>
            </w:pPr>
            <w:hyperlink r:id="rId179">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154</w:t>
              </w:r>
            </w:hyperlink>
          </w:p>
        </w:tc>
        <w:tc>
          <w:tcPr>
            <w:tcW w:w="46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Third Amendment to Lease, by and between Bayside Area Development, LLC and VistaGen Therapeutics, Inc. dated October 14, 2021, incorporated by reference from</w:t>
            </w:r>
          </w:p>
        </w:tc>
      </w:tr>
      <w:tr>
        <w:trPr>
          <w:trHeight w:val="176"/>
        </w:trPr>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10.1 to the Company’s Quarterly Report on Form 10-Q, filed on November 10, 2021.</w:t>
            </w:r>
          </w:p>
        </w:tc>
      </w:tr>
      <w:tr>
        <w:trPr>
          <w:trHeight w:val="707"/>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80" w:type="dxa"/>
            <w:vAlign w:val="bottom"/>
          </w:tcPr>
          <w:p>
            <w:pPr>
              <w:jc w:val="right"/>
              <w:ind w:right="5449"/>
              <w:spacing w:after="0"/>
              <w:rPr>
                <w:sz w:val="20"/>
                <w:szCs w:val="20"/>
                <w:color w:val="auto"/>
              </w:rPr>
            </w:pPr>
            <w:r>
              <w:rPr>
                <w:rFonts w:ascii="Times New Roman" w:cs="Times New Roman" w:eastAsia="Times New Roman" w:hAnsi="Times New Roman"/>
                <w:sz w:val="14"/>
                <w:szCs w:val="14"/>
                <w:color w:val="auto"/>
              </w:rPr>
              <w:t>120</w:t>
            </w:r>
          </w:p>
        </w:tc>
      </w:tr>
      <w:tr>
        <w:trPr>
          <w:trHeight w:val="87"/>
        </w:trPr>
        <w:tc>
          <w:tcPr>
            <w:tcW w:w="4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0"/>
        </w:trPr>
        <w:tc>
          <w:tcPr>
            <w:tcW w:w="1400" w:type="dxa"/>
            <w:vAlign w:val="bottom"/>
            <w:tcBorders>
              <w:top w:val="single" w:sz="8" w:color="auto"/>
              <w:right w:val="single" w:sz="8" w:color="auto"/>
            </w:tcBorders>
            <w:gridSpan w:val="5"/>
          </w:tcPr>
          <w:p>
            <w:pPr>
              <w:jc w:val="center"/>
              <w:ind w:right="20"/>
              <w:spacing w:after="0"/>
              <w:rPr>
                <w:rFonts w:ascii="Times New Roman" w:cs="Times New Roman" w:eastAsia="Times New Roman" w:hAnsi="Times New Roman"/>
                <w:sz w:val="14"/>
                <w:szCs w:val="14"/>
                <w:color w:val="0000FF"/>
                <w:w w:val="98"/>
              </w:rPr>
            </w:pPr>
            <w:hyperlink r:id="rId182">
              <w:r>
                <w:rPr>
                  <w:rFonts w:ascii="Times New Roman" w:cs="Times New Roman" w:eastAsia="Times New Roman" w:hAnsi="Times New Roman"/>
                  <w:sz w:val="14"/>
                  <w:szCs w:val="14"/>
                  <w:color w:val="0000FF"/>
                  <w:w w:val="98"/>
                </w:rPr>
                <w:t>10.155</w:t>
              </w:r>
            </w:hyperlink>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Indemnification Agreement, dated May 13, 2022, by and between Vistagen Therapeutics, Inc. and Reid G. Adler, J.D., incorporated by reference from Exhibit 10.1 to the</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Quarterly Report on Form 10-Q, filed on August 11, 2022.</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3">
              <w:r>
                <w:rPr>
                  <w:rFonts w:ascii="Times New Roman" w:cs="Times New Roman" w:eastAsia="Times New Roman" w:hAnsi="Times New Roman"/>
                  <w:sz w:val="14"/>
                  <w:szCs w:val="14"/>
                  <w:color w:val="0000FF"/>
                  <w:w w:val="98"/>
                </w:rPr>
                <w:t>10.156</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Consulting Services Agreement between Vistagen Therapeutics, Inc and FitzPatrick &amp; Co. LLC, dated January 21, 2022, incorporated by reference from Exhibit 10.1 to the</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Quarterly Report on Form 10-Q, filed on November 10, 2022.</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4">
              <w:r>
                <w:rPr>
                  <w:rFonts w:ascii="Times New Roman" w:cs="Times New Roman" w:eastAsia="Times New Roman" w:hAnsi="Times New Roman"/>
                  <w:sz w:val="14"/>
                  <w:szCs w:val="14"/>
                  <w:color w:val="0000FF"/>
                  <w:w w:val="98"/>
                </w:rPr>
                <w:t>10.157</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Amendment No. 1 to Consulting Services Agreement between Vistagen Therapeutics, Inc and FitzPatrick &amp; Co. LLC, effective June 1, 2022, incorporated by reference from</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10.2 to the Company’s Quarterly Report on Form 10-Q, filed on November 10, 2022.</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5">
              <w:r>
                <w:rPr>
                  <w:rFonts w:ascii="Times New Roman" w:cs="Times New Roman" w:eastAsia="Times New Roman" w:hAnsi="Times New Roman"/>
                  <w:sz w:val="14"/>
                  <w:szCs w:val="14"/>
                  <w:color w:val="0000FF"/>
                  <w:w w:val="98"/>
                </w:rPr>
                <w:t>10.158</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Amendment No 2. to Consulting Services Agreement between Vistagen Therapeutics, Inc. and FitzPatrick &amp; Co. LLC effective January 1, 2023, incorporated by reference</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from Exhibit 10.1 to the Company’s Quarterly Report on Form 10-Q, filed on February 7, 2023.</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6">
              <w:r>
                <w:rPr>
                  <w:rFonts w:ascii="Times New Roman" w:cs="Times New Roman" w:eastAsia="Times New Roman" w:hAnsi="Times New Roman"/>
                  <w:sz w:val="14"/>
                  <w:szCs w:val="14"/>
                  <w:color w:val="0000FF"/>
                  <w:w w:val="98"/>
                </w:rPr>
                <w:t>10.159</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Amendment No 3. to Consulting Services Agreement between Vistagen Therapeutics, Inc. and FitzPatrick &amp; Co. LLC effective July 1, 2023, incorporated by reference from</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10.159 to the Company's Annual Report on Form 10-K filed on June 28, 2023.</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7">
              <w:r>
                <w:rPr>
                  <w:rFonts w:ascii="Times New Roman" w:cs="Times New Roman" w:eastAsia="Times New Roman" w:hAnsi="Times New Roman"/>
                  <w:sz w:val="14"/>
                  <w:szCs w:val="14"/>
                  <w:color w:val="0000FF"/>
                  <w:w w:val="98"/>
                </w:rPr>
                <w:t>10.160</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Consulting Agreement between Vistagen Therapeutics, Inc and i3 Strategy, dated November 10, 2022, incorporated by reference from Exhibit 10.3 to the Company’s</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Quarterly Report on Form 10-Q filed on November 10, 2022.</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8">
              <w:r>
                <w:rPr>
                  <w:rFonts w:ascii="Times New Roman" w:cs="Times New Roman" w:eastAsia="Times New Roman" w:hAnsi="Times New Roman"/>
                  <w:sz w:val="14"/>
                  <w:szCs w:val="14"/>
                  <w:color w:val="0000FF"/>
                  <w:w w:val="98"/>
                </w:rPr>
                <w:t>10.163</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August 10, 2023, by and between Vistagen Therapeutics, Inc. and Cynthia Anderson, incorporated by reference from Exhibit 10.163 to the</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Annual Report on Form 10-K filed on June 11, 2024.</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89">
              <w:r>
                <w:rPr>
                  <w:rFonts w:ascii="Times New Roman" w:cs="Times New Roman" w:eastAsia="Times New Roman" w:hAnsi="Times New Roman"/>
                  <w:sz w:val="14"/>
                  <w:szCs w:val="14"/>
                  <w:color w:val="0000FF"/>
                  <w:w w:val="98"/>
                </w:rPr>
                <w:t>10.164</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Exclusive Negotiation Agreement, by and between Vistagen Therapeutics, Inc. and Fuji Pharma Co., Ltd., dated September 1, 2023, incorporated by reference from Exhibit</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10.1 to the Company’s Current Report on Form 8-K filed on September 8, 2023.</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90">
              <w:r>
                <w:rPr>
                  <w:rFonts w:ascii="Times New Roman" w:cs="Times New Roman" w:eastAsia="Times New Roman" w:hAnsi="Times New Roman"/>
                  <w:sz w:val="14"/>
                  <w:szCs w:val="14"/>
                  <w:color w:val="0000FF"/>
                  <w:w w:val="98"/>
                </w:rPr>
                <w:t>10.165</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Amendment No. 4 to Consulting Agreement by and between the Company and FitzPatrick Co. LLC, dated November 9, 2023, incorporated by reference from Exhibit 10.2 to</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Company’s Quarterly Report on Form 10-Q filed on November 9, 2023.</w:t>
            </w:r>
          </w:p>
        </w:tc>
      </w:tr>
      <w:tr>
        <w:trPr>
          <w:trHeight w:val="155"/>
        </w:trPr>
        <w:tc>
          <w:tcPr>
            <w:tcW w:w="1400" w:type="dxa"/>
            <w:vAlign w:val="bottom"/>
            <w:tcBorders>
              <w:right w:val="single" w:sz="8" w:color="auto"/>
            </w:tcBorders>
            <w:gridSpan w:val="5"/>
          </w:tcPr>
          <w:p>
            <w:pPr>
              <w:jc w:val="center"/>
              <w:ind w:right="20"/>
              <w:spacing w:after="0" w:line="155" w:lineRule="exact"/>
              <w:rPr>
                <w:rFonts w:ascii="Times New Roman" w:cs="Times New Roman" w:eastAsia="Times New Roman" w:hAnsi="Times New Roman"/>
                <w:sz w:val="14"/>
                <w:szCs w:val="14"/>
                <w:color w:val="0000FF"/>
                <w:w w:val="98"/>
              </w:rPr>
            </w:pPr>
            <w:hyperlink r:id="rId191">
              <w:r>
                <w:rPr>
                  <w:rFonts w:ascii="Times New Roman" w:cs="Times New Roman" w:eastAsia="Times New Roman" w:hAnsi="Times New Roman"/>
                  <w:sz w:val="14"/>
                  <w:szCs w:val="14"/>
                  <w:color w:val="0000FF"/>
                  <w:w w:val="98"/>
                </w:rPr>
                <w:t>10.166</w:t>
              </w:r>
            </w:hyperlink>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Indemnification Agreement, dated October 24, 2023, by and between Vistagen Therapeutics, Inc. and Joshua Prince, incorporated by reference from Exhibit 10.1 to the</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Company’s Current Report on Form 8-K filed on October 26, 2023.</w:t>
            </w:r>
          </w:p>
        </w:tc>
      </w:tr>
      <w:tr>
        <w:trPr>
          <w:trHeight w:val="155"/>
        </w:trPr>
        <w:tc>
          <w:tcPr>
            <w:tcW w:w="880" w:type="dxa"/>
            <w:vAlign w:val="bottom"/>
            <w:gridSpan w:val="4"/>
          </w:tcPr>
          <w:p>
            <w:pPr>
              <w:jc w:val="center"/>
              <w:ind w:left="429"/>
              <w:spacing w:after="0" w:line="155" w:lineRule="exact"/>
              <w:rPr>
                <w:sz w:val="20"/>
                <w:szCs w:val="20"/>
                <w:color w:val="auto"/>
              </w:rPr>
            </w:pPr>
            <w:r>
              <w:rPr>
                <w:rFonts w:ascii="Times New Roman" w:cs="Times New Roman" w:eastAsia="Times New Roman" w:hAnsi="Times New Roman"/>
                <w:sz w:val="14"/>
                <w:szCs w:val="14"/>
                <w:color w:val="0000FF"/>
              </w:rPr>
              <w:t>14.1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Code of Business Conduct,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19.1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Insider Trading Compliance Policy,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21.1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List of Subsidiaries,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23.1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Consent of WithumSmith+Brown, PC, Independent Registered Public Accounting Firm,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23.2</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Consent of KPMG LLP, Independent Registered Public Accounting Firm,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31.1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Certification of the Company’s Chief Executive Officer pursuant to Section 302 of the Sarbanes-Oxley Act of 2002,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31.2</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Certification of the Company’s Chief Financial Officer pursuant to Section 302 of the Sarbanes-Oxley Act of 2002,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sz w:val="20"/>
                <w:szCs w:val="20"/>
                <w:color w:val="auto"/>
              </w:rPr>
            </w:pPr>
            <w:r>
              <w:rPr>
                <w:rFonts w:ascii="Times New Roman" w:cs="Times New Roman" w:eastAsia="Times New Roman" w:hAnsi="Times New Roman"/>
                <w:sz w:val="14"/>
                <w:szCs w:val="14"/>
                <w:color w:val="0000FF"/>
              </w:rPr>
              <w:t>32.1</w:t>
            </w:r>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Certification of the Company’s Chief Executive Officer and Chief Financial Officer pursuant to Section 906 of the Sarbanes-Oxley Act of 2002, filed herewith.</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880" w:type="dxa"/>
            <w:vAlign w:val="bottom"/>
            <w:tcBorders>
              <w:bottom w:val="single" w:sz="8" w:color="auto"/>
            </w:tcBorders>
          </w:tcPr>
          <w:p>
            <w:pPr>
              <w:spacing w:after="0" w:line="20" w:lineRule="exact"/>
              <w:rPr>
                <w:sz w:val="1"/>
                <w:szCs w:val="1"/>
                <w:color w:val="auto"/>
              </w:rPr>
            </w:pPr>
          </w:p>
        </w:tc>
      </w:tr>
      <w:tr>
        <w:trPr>
          <w:trHeight w:val="150"/>
        </w:trPr>
        <w:tc>
          <w:tcPr>
            <w:tcW w:w="880" w:type="dxa"/>
            <w:vAlign w:val="bottom"/>
            <w:gridSpan w:val="4"/>
          </w:tcPr>
          <w:p>
            <w:pPr>
              <w:jc w:val="center"/>
              <w:ind w:left="429"/>
              <w:spacing w:after="0" w:line="150"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97.1</w:t>
              </w:r>
            </w:hyperlink>
          </w:p>
        </w:tc>
        <w:tc>
          <w:tcPr>
            <w:tcW w:w="520" w:type="dxa"/>
            <w:vAlign w:val="bottom"/>
            <w:tcBorders>
              <w:right w:val="single" w:sz="8" w:color="auto"/>
            </w:tcBorders>
          </w:tcPr>
          <w:p>
            <w:pPr>
              <w:spacing w:after="0"/>
              <w:rPr>
                <w:sz w:val="13"/>
                <w:szCs w:val="13"/>
                <w:color w:val="auto"/>
              </w:rPr>
            </w:pPr>
          </w:p>
        </w:tc>
        <w:tc>
          <w:tcPr>
            <w:tcW w:w="98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Policy for Recovery of Erroneously Awarded Compensation, incorporated by reference from Exhibit 97.1 to the Company's Annual Report on Form 10-K filed on June 11,</w:t>
            </w:r>
          </w:p>
        </w:tc>
      </w:tr>
      <w:tr>
        <w:trPr>
          <w:trHeight w:val="176"/>
        </w:trPr>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2024.</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w w:val="97"/>
              </w:rPr>
              <w:t>101.INS</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101.SCH</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Inline XBRL Taxonomy Extension Schema, filed herewith</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101.CAL</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filed herewith</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w w:val="98"/>
              </w:rPr>
              <w:t>101.DEF</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filed herewith</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101.LAB</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filed herewith</w:t>
            </w:r>
          </w:p>
        </w:tc>
      </w:tr>
      <w:tr>
        <w:trPr>
          <w:trHeight w:val="192"/>
        </w:trPr>
        <w:tc>
          <w:tcPr>
            <w:tcW w:w="140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w w:val="99"/>
              </w:rPr>
              <w:t>101.PRE</w:t>
            </w: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filed herewith</w:t>
            </w:r>
          </w:p>
        </w:tc>
      </w:tr>
      <w:tr>
        <w:trPr>
          <w:trHeight w:val="192"/>
        </w:trPr>
        <w:tc>
          <w:tcPr>
            <w:tcW w:w="820" w:type="dxa"/>
            <w:vAlign w:val="bottom"/>
            <w:tcBorders>
              <w:bottom w:val="single" w:sz="8" w:color="auto"/>
            </w:tcBorders>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25" w:name="page126"/>
    <w:bookmarkEnd w:id="125"/>
    <w:p>
      <w:pPr>
        <w:ind w:left="635" w:hanging="635"/>
        <w:spacing w:after="0"/>
        <w:tabs>
          <w:tab w:leader="none" w:pos="63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like-numbered exhibit filed with our Current Report on Form 8-K on May 16, 2011.</w:t>
      </w:r>
    </w:p>
    <w:p>
      <w:pPr>
        <w:spacing w:after="0" w:line="23" w:lineRule="exact"/>
        <w:rPr>
          <w:sz w:val="20"/>
          <w:szCs w:val="20"/>
          <w:color w:val="auto"/>
        </w:rPr>
      </w:pPr>
    </w:p>
    <w:p>
      <w:pPr>
        <w:ind w:left="635" w:hanging="635"/>
        <w:spacing w:after="0" w:line="250" w:lineRule="auto"/>
        <w:tabs>
          <w:tab w:leader="none" w:pos="6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200" w:lineRule="exact"/>
        <w:rPr>
          <w:sz w:val="20"/>
          <w:szCs w:val="20"/>
          <w:color w:val="auto"/>
        </w:rPr>
      </w:pPr>
    </w:p>
    <w:p>
      <w:pPr>
        <w:spacing w:after="0" w:line="246"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55"/>
          </w:cols>
          <w:pgMar w:left="305" w:top="761" w:right="639" w:bottom="1440" w:gutter="0" w:footer="0" w:header="0"/>
        </w:sectPr>
      </w:pPr>
    </w:p>
    <w:bookmarkStart w:id="126" w:name="page127"/>
    <w:bookmarkEnd w:id="126"/>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37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53" w:lineRule="exact"/>
        <w:rPr>
          <w:sz w:val="20"/>
          <w:szCs w:val="20"/>
          <w:color w:val="auto"/>
        </w:rPr>
      </w:pPr>
    </w:p>
    <w:p>
      <w:pPr>
        <w:ind w:left="20"/>
        <w:spacing w:after="0"/>
        <w:tabs>
          <w:tab w:leader="none" w:pos="4440" w:val="left"/>
          <w:tab w:leader="none" w:pos="4980" w:val="left"/>
          <w:tab w:leader="none" w:pos="5240" w:val="left"/>
        </w:tabs>
        <w:rPr>
          <w:sz w:val="20"/>
          <w:szCs w:val="20"/>
          <w:color w:val="auto"/>
        </w:rPr>
      </w:pPr>
      <w:r>
        <w:rPr>
          <w:rFonts w:ascii="Times New Roman" w:cs="Times New Roman" w:eastAsia="Times New Roman" w:hAnsi="Times New Roman"/>
          <w:sz w:val="14"/>
          <w:szCs w:val="14"/>
          <w:color w:val="auto"/>
        </w:rPr>
        <w:t>Date: June 17,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4"/>
          <w:szCs w:val="14"/>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22860</wp:posOffset>
            </wp:positionV>
            <wp:extent cx="243903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Shawn K. Singh, J.D.</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p>
      <w:pPr>
        <w:spacing w:after="0" w:line="200" w:lineRule="exact"/>
        <w:rPr>
          <w:sz w:val="20"/>
          <w:szCs w:val="20"/>
          <w:color w:val="auto"/>
        </w:rPr>
      </w:pPr>
    </w:p>
    <w:p>
      <w:pPr>
        <w:spacing w:after="0" w:line="261" w:lineRule="exact"/>
        <w:rPr>
          <w:sz w:val="20"/>
          <w:szCs w:val="20"/>
          <w:color w:val="auto"/>
        </w:rPr>
      </w:pPr>
    </w:p>
    <w:p>
      <w:pPr>
        <w:ind w:right="38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36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4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Shawn K. Singh</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91"/>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Shawn K. Singh, J.D.</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260" w:type="dxa"/>
            <w:vAlign w:val="bottom"/>
          </w:tcPr>
          <w:p>
            <w:pPr>
              <w:spacing w:after="0"/>
              <w:rPr>
                <w:sz w:val="16"/>
                <w:szCs w:val="16"/>
                <w:color w:val="auto"/>
              </w:rPr>
            </w:pPr>
          </w:p>
        </w:tc>
      </w:tr>
      <w:tr>
        <w:trPr>
          <w:trHeight w:val="331"/>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Cynthia L. Anderson</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91"/>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Cynthia L. Anderson, CPA</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Margaret M. FitzPatrick</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Chair of the Board of Directors</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Margaret M. FitzPatrick</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Ann M. Cunningham</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 M. Cunningham</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Joanne Curley</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Joanne Curley, Ph.D.</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Jerry B. Gin</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Jerry B. Gin, Ph.D.</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Mary L. Rotunno</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Mary L. Rotunno, J.D.</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34"/>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Jon S. Saxe</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w w:val="99"/>
              </w:rPr>
              <w:t>June 17, 2025</w:t>
            </w:r>
          </w:p>
        </w:tc>
      </w:tr>
      <w:tr>
        <w:trPr>
          <w:trHeight w:val="18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Jon S. Saxe, J.D., LL.M.</w:t>
            </w:r>
          </w:p>
        </w:tc>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732"/>
        </w:trPr>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8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123</w:t>
            </w:r>
          </w:p>
        </w:tc>
        <w:tc>
          <w:tcPr>
            <w:tcW w:w="2260" w:type="dxa"/>
            <w:vAlign w:val="bottom"/>
          </w:tcPr>
          <w:p>
            <w:pPr>
              <w:spacing w:after="0"/>
              <w:rPr>
                <w:sz w:val="24"/>
                <w:szCs w:val="24"/>
                <w:color w:val="auto"/>
              </w:rPr>
            </w:pPr>
          </w:p>
        </w:tc>
      </w:tr>
    </w:tbl>
    <w:p>
      <w:pPr>
        <w:sectPr>
          <w:pgSz w:w="11900" w:h="16838" w:orient="portrait"/>
          <w:cols w:equalWidth="0" w:num="1">
            <w:col w:w="10640"/>
          </w:cols>
          <w:pgMar w:left="300" w:top="929" w:right="959" w:bottom="1440"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Vistastem, Inc., a California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Pherin Pharmaceuticals, Inc., a Delaware corporation</w:t>
      </w:r>
    </w:p>
    <w:p>
      <w:pPr>
        <w:sectPr>
          <w:pgSz w:w="11900" w:h="16838" w:orient="portrait"/>
          <w:cols w:equalWidth="0" w:num="1">
            <w:col w:w="11280"/>
          </w:cols>
          <w:pgMar w:left="300" w:top="1131" w:right="31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CONSENT OF INDEPENDENT REGISTERED PUBLIC ACCOUNTING FIRM</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(File Nos. 333-280246, 333-259799, 333-234026, 333-223556 and 333-208354) and Form S-3 (File Nos. 333-277041 and 333-270232) of Vistagen Therapeutics, Inc. of our report dated June 11, 2024, relating to the consolidated financial statements as of and for the year ended March 31, 2024, which appears in this Annual Report on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17, 2025</w:t>
      </w:r>
    </w:p>
    <w:p>
      <w:pPr>
        <w:sectPr>
          <w:pgSz w:w="11900" w:h="16838" w:orient="portrait"/>
          <w:cols w:equalWidth="0" w:num="1">
            <w:col w:w="11280"/>
          </w:cols>
          <w:pgMar w:left="300" w:top="1137" w:right="31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735965</wp:posOffset>
            </wp:positionV>
            <wp:extent cx="539115" cy="215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39115"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consent to the incorporation by reference in the registration statements (Nos. 333-277041 and 333-270232) on Form S-3 and registration statements (Nos. 333-280246, 333-259779, 333-234026, 333-223556, and 333-208354) on Form S-8 of our report dated June 17, 2025, with respect to the consolidated financial statements of Vistagen Therapeutics,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June 17, 2025</w:t>
      </w:r>
    </w:p>
    <w:p>
      <w:pPr>
        <w:sectPr>
          <w:pgSz w:w="11900" w:h="16838" w:orient="portrait"/>
          <w:cols w:equalWidth="0" w:num="1">
            <w:col w:w="11280"/>
          </w:cols>
          <w:pgMar w:left="300" w:top="1440"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Shawn K. Singh, certify that;</w:t>
      </w:r>
    </w:p>
    <w:p>
      <w:pPr>
        <w:spacing w:after="0" w:line="179" w:lineRule="exact"/>
        <w:rPr>
          <w:sz w:val="20"/>
          <w:szCs w:val="20"/>
          <w:color w:val="auto"/>
        </w:rPr>
      </w:pPr>
    </w:p>
    <w:p>
      <w:pPr>
        <w:ind w:left="400" w:hanging="395"/>
        <w:spacing w:after="0"/>
        <w:tabs>
          <w:tab w:leader="none" w:pos="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Vistagen Therapeutics, Inc., a Nevada corporation;</w:t>
      </w:r>
    </w:p>
    <w:p>
      <w:pPr>
        <w:spacing w:after="0" w:line="178"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4"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40" w:hanging="436"/>
        <w:spacing w:after="0" w:line="287" w:lineRule="auto"/>
        <w:tabs>
          <w:tab w:leader="none" w:pos="69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hanging="375"/>
        <w:spacing w:after="0" w:line="287" w:lineRule="auto"/>
        <w:tabs>
          <w:tab w:leader="none" w:pos="3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640" w:hanging="385"/>
        <w:spacing w:after="0" w:line="287" w:lineRule="auto"/>
        <w:tabs>
          <w:tab w:leader="none" w:pos="639"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40" w:hanging="385"/>
        <w:spacing w:after="0"/>
        <w:tabs>
          <w:tab w:leader="none" w:pos="6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June 17, 2025</w:t>
      </w:r>
      <w:r>
        <w:rPr>
          <w:sz w:val="20"/>
          <w:szCs w:val="20"/>
          <w:color w:val="auto"/>
        </w:rPr>
        <w:tab/>
      </w:r>
      <w:r>
        <w:rPr>
          <w:rFonts w:ascii="Times New Roman" w:cs="Times New Roman" w:eastAsia="Times New Roman" w:hAnsi="Times New Roman"/>
          <w:sz w:val="13"/>
          <w:szCs w:val="13"/>
          <w:u w:val="single" w:color="auto"/>
          <w:color w:val="auto"/>
        </w:rPr>
        <w:t>/s/ Shawn K. Singh</w:t>
      </w:r>
    </w:p>
    <w:p>
      <w:pPr>
        <w:spacing w:after="0" w:line="4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color w:val="auto"/>
        </w:rPr>
        <w:t>Shawn K. Singh, JD</w:t>
      </w:r>
    </w:p>
    <w:p>
      <w:pPr>
        <w:spacing w:after="0" w:line="4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929"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Cynthia L. Anderson, certify that:</w:t>
      </w:r>
    </w:p>
    <w:p>
      <w:pPr>
        <w:spacing w:after="0" w:line="179" w:lineRule="exact"/>
        <w:rPr>
          <w:sz w:val="20"/>
          <w:szCs w:val="20"/>
          <w:color w:val="auto"/>
        </w:rPr>
      </w:pPr>
    </w:p>
    <w:p>
      <w:pPr>
        <w:ind w:left="400" w:hanging="395"/>
        <w:spacing w:after="0"/>
        <w:tabs>
          <w:tab w:leader="none" w:pos="4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Vistagen Therapeutics, Inc., a Nevada corporation;</w:t>
      </w:r>
    </w:p>
    <w:p>
      <w:pPr>
        <w:spacing w:after="0" w:line="178"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4"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7"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hanging="436"/>
        <w:spacing w:after="0" w:line="287" w:lineRule="auto"/>
        <w:tabs>
          <w:tab w:leader="none" w:pos="697"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420" w:hanging="415"/>
        <w:spacing w:after="0" w:line="287" w:lineRule="auto"/>
        <w:tabs>
          <w:tab w:leader="none" w:pos="4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660" w:hanging="390"/>
        <w:spacing w:after="0" w:line="287" w:lineRule="auto"/>
        <w:tabs>
          <w:tab w:leader="none" w:pos="659"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90"/>
        <w:spacing w:after="0"/>
        <w:tabs>
          <w:tab w:leader="none" w:pos="66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June 17, 2025</w:t>
      </w:r>
      <w:r>
        <w:rPr>
          <w:sz w:val="20"/>
          <w:szCs w:val="20"/>
          <w:color w:val="auto"/>
        </w:rPr>
        <w:tab/>
      </w:r>
      <w:r>
        <w:rPr>
          <w:rFonts w:ascii="Times New Roman" w:cs="Times New Roman" w:eastAsia="Times New Roman" w:hAnsi="Times New Roman"/>
          <w:sz w:val="14"/>
          <w:szCs w:val="14"/>
          <w:u w:val="single" w:color="auto"/>
          <w:color w:val="auto"/>
        </w:rPr>
        <w:t>/s/ Cynthia L. Anderson</w:t>
      </w:r>
    </w:p>
    <w:p>
      <w:pPr>
        <w:spacing w:after="0" w:line="4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Cynthia L. Anderson</w:t>
      </w:r>
    </w:p>
    <w:p>
      <w:pPr>
        <w:spacing w:after="0" w:line="4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929"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02"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Vistagen Therapeutics, Inc.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xml:space="preserve"> ”) hereby certifies, to such officer’s knowledge, that:</w:t>
      </w:r>
    </w:p>
    <w:p>
      <w:pPr>
        <w:spacing w:after="0" w:line="120" w:lineRule="exact"/>
        <w:rPr>
          <w:sz w:val="20"/>
          <w:szCs w:val="20"/>
          <w:color w:val="auto"/>
        </w:rPr>
      </w:pPr>
    </w:p>
    <w:p>
      <w:pPr>
        <w:ind w:left="680" w:hanging="166"/>
        <w:spacing w:after="0" w:line="290" w:lineRule="auto"/>
        <w:tabs>
          <w:tab w:leader="none" w:pos="67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Company for the annual period ended March 31, 2025 (the “</w:t>
      </w:r>
      <w:r>
        <w:rPr>
          <w:rFonts w:ascii="Times New Roman" w:cs="Times New Roman" w:eastAsia="Times New Roman" w:hAnsi="Times New Roman"/>
          <w:sz w:val="14"/>
          <w:szCs w:val="14"/>
          <w:i w:val="1"/>
          <w:iCs w:val="1"/>
          <w:color w:val="auto"/>
        </w:rPr>
        <w:t>Report</w:t>
      </w:r>
      <w:r>
        <w:rPr>
          <w:rFonts w:ascii="Times New Roman" w:cs="Times New Roman" w:eastAsia="Times New Roman" w:hAnsi="Times New Roman"/>
          <w:sz w:val="14"/>
          <w:szCs w:val="14"/>
          <w:color w:val="auto"/>
        </w:rPr>
        <w:t>”) fully complies with the requirements of Section 13(a) or Section 15(d), as applicable, of the Securities Exchange Act of 1934, as amended; and</w:t>
      </w:r>
    </w:p>
    <w:p>
      <w:pPr>
        <w:spacing w:after="0" w:line="122"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Shawn K. Singh,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Cynthia L. Anderson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2"/>
    </w:lvl>
  </w:abstractNum>
  <w:abstractNum w:abstractNumId="9">
    <w:nsid w:val="51EAD36B"/>
    <w:multiLevelType w:val="hybridMultilevel"/>
    <w:lvl w:ilvl="0">
      <w:lvlJc w:val="left"/>
      <w:lvlText w:val="(%1)"/>
      <w:numFmt w:val="decimal"/>
      <w:start w:val="2"/>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lvl w:ilvl="1">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5"/>
    </w:lvl>
  </w:abstractNum>
  <w:abstractNum w:abstractNumId="61">
    <w:nsid w:val="25A70BF7"/>
    <w:multiLevelType w:val="hybridMultilevel"/>
    <w:lvl w:ilvl="0">
      <w:lvlJc w:val="left"/>
      <w:lvlText w:val="%1."/>
      <w:numFmt w:val="decimal"/>
      <w:start w:val="8"/>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9"/>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jpeg"/><Relationship Id="rId147" Type="http://schemas.openxmlformats.org/officeDocument/2006/relationships/hyperlink" Target="https://www.sec.gov/Archives/edgar/data/1411685/000165495421005701/vtgn8k_may2021.htm" TargetMode="External"/><Relationship Id="rId148" Type="http://schemas.openxmlformats.org/officeDocument/2006/relationships/hyperlink" Target="https://www.sec.gov/Archives/edgar/data/1411685/000143774923027662/ex_576126.htm" TargetMode="External"/><Relationship Id="rId149" Type="http://schemas.openxmlformats.org/officeDocument/2006/relationships/hyperlink" Target="https://www.sec.gov/Archives/edgar/data/1411685/000141588911000362/ex2-1.htm" TargetMode="External"/><Relationship Id="rId150" Type="http://schemas.openxmlformats.org/officeDocument/2006/relationships/hyperlink" Target="https://www.sec.gov/Archives/edgar/data/1411685/000185173422000740/ex_458079.htm" TargetMode="External"/><Relationship Id="rId151" Type="http://schemas.openxmlformats.org/officeDocument/2006/relationships/hyperlink" Target="https://www.sec.gov/Archives/edgar/data/1411685/000141588911000445/exhibit3-1.htm" TargetMode="External"/><Relationship Id="rId152" Type="http://schemas.openxmlformats.org/officeDocument/2006/relationships/hyperlink" Target="https://www.sec.gov/Archives/edgar/data/1411685/000141588916006879/ex3-1.htm" TargetMode="External"/><Relationship Id="rId153" Type="http://schemas.openxmlformats.org/officeDocument/2006/relationships/hyperlink" Target="https://www.sec.gov/Archives/edgar/data/1411685/000141588916006879/ex3-2.htm" TargetMode="External"/><Relationship Id="rId154" Type="http://schemas.openxmlformats.org/officeDocument/2006/relationships/hyperlink" Target="https://www.sec.gov/Archives/edgar/data/1411685/000165495417008632/ex3-1.htm" TargetMode="External"/><Relationship Id="rId155" Type="http://schemas.openxmlformats.org/officeDocument/2006/relationships/hyperlink" Target="https://www.sec.gov/Archives/edgar/data/1411685/000165495419010432/ex3-1.htm" TargetMode="External"/><Relationship Id="rId156" Type="http://schemas.openxmlformats.org/officeDocument/2006/relationships/hyperlink" Target="https://www.sec.gov/Archives/edgar/data/1411685/000165495421002420/ex3-1.htm" TargetMode="External"/><Relationship Id="rId157" Type="http://schemas.openxmlformats.org/officeDocument/2006/relationships/hyperlink" Target="https://www.sec.gov/Archives/edgar/data/1411685/000185173422000516/ex_418416.htm" TargetMode="External"/><Relationship Id="rId160" Type="http://schemas.openxmlformats.org/officeDocument/2006/relationships/hyperlink" Target="https://www.sec.gov/Archives/edgar/data/1411685/000143774923016689/ex_530160.htm" TargetMode="External"/><Relationship Id="rId161" Type="http://schemas.openxmlformats.org/officeDocument/2006/relationships/hyperlink" Target="https://www.sec.gov/Archives/edgar/data/1411685/000143774923027662/vtgn20231003_8k.htm" TargetMode="External"/><Relationship Id="rId162" Type="http://schemas.openxmlformats.org/officeDocument/2006/relationships/hyperlink" Target="https://www.sec.gov/Archives/edgar/data/1411685/000143774923027662/ex_576135.htm" TargetMode="External"/><Relationship Id="rId163" Type="http://schemas.openxmlformats.org/officeDocument/2006/relationships/hyperlink" Target="https://www.sec.gov/Archives/edgar/data/1411685/000143774923027662/ex_576136.htm" TargetMode="External"/><Relationship Id="rId164" Type="http://schemas.openxmlformats.org/officeDocument/2006/relationships/hyperlink" Target="https://www.sec.gov/Archives/edgar/data/1411685/000141168524000022/vtgn-exx431.htm" TargetMode="External"/><Relationship Id="rId165" Type="http://schemas.openxmlformats.org/officeDocument/2006/relationships/hyperlink" Target="https://www.sec.gov/Archives/edgar/data/1411685/000141588911000362/ex10-40.htm" TargetMode="External"/><Relationship Id="rId166" Type="http://schemas.openxmlformats.org/officeDocument/2006/relationships/hyperlink" Target="https://www.sec.gov/Archives/edgar/data/1411685/000141588913001409/leasebaysidevistagen.htm" TargetMode="External"/><Relationship Id="rId167" Type="http://schemas.openxmlformats.org/officeDocument/2006/relationships/hyperlink" Target="https://www.sec.gov/Archives/edgar/data/1411685/000141588913001409/saxeindemnification.htm" TargetMode="External"/><Relationship Id="rId168" Type="http://schemas.openxmlformats.org/officeDocument/2006/relationships/hyperlink" Target="https://www.sec.gov/Archives/edgar/data/1411685/000141588913001409/singhindemnification.htm" TargetMode="External"/><Relationship Id="rId169" Type="http://schemas.openxmlformats.org/officeDocument/2006/relationships/hyperlink" Target="https://www.sec.gov/Archives/edgar/data/1411685/000141588916006331/ex10-112.htm" TargetMode="External"/><Relationship Id="rId170" Type="http://schemas.openxmlformats.org/officeDocument/2006/relationships/hyperlink" Target="https://www.sec.gov/Archives/edgar/data/1411685/000141588916006331/ex10-116.htm" TargetMode="External"/><Relationship Id="rId171" Type="http://schemas.openxmlformats.org/officeDocument/2006/relationships/hyperlink" Target="https://www.sec.gov/Archives/edgar/data/1411685/000141588916007413/ex10-1.htm" TargetMode="External"/><Relationship Id="rId172" Type="http://schemas.openxmlformats.org/officeDocument/2006/relationships/hyperlink" Target="https://www.sec.gov/Archives/edgar/data/1411685/000165495417005976/ex10-122.htm" TargetMode="External"/><Relationship Id="rId173" Type="http://schemas.openxmlformats.org/officeDocument/2006/relationships/hyperlink" Target="https://www.sec.gov/Archives/edgar/data/1411685/000165495419000496/ex10-1.htm" TargetMode="External"/><Relationship Id="rId174" Type="http://schemas.openxmlformats.org/officeDocument/2006/relationships/hyperlink" Target="https://www.sec.gov/Archives/edgar/data/1411685/000165495419008434/def14a_july262019.htm" TargetMode="External"/><Relationship Id="rId175" Type="http://schemas.openxmlformats.org/officeDocument/2006/relationships/hyperlink" Target="https://www.sec.gov/Archives/edgar/data/1411685/000165495420007024/ex10-1.htm" TargetMode="External"/><Relationship Id="rId176" Type="http://schemas.openxmlformats.org/officeDocument/2006/relationships/hyperlink" Target="https://www.sec.gov/Archives/edgar/data/1411685/000165495421004680/ex10-1.htm" TargetMode="External"/><Relationship Id="rId177" Type="http://schemas.openxmlformats.org/officeDocument/2006/relationships/hyperlink" Target="https://www.sec.gov/Archives/edgar/data/1411685/000165495421007757/ex10-1.htm" TargetMode="External"/><Relationship Id="rId178" Type="http://schemas.openxmlformats.org/officeDocument/2006/relationships/hyperlink" Target="https://www.sec.gov/Archives/edgar/data/1411685/000165495421008125/ex10-1.htm" TargetMode="External"/><Relationship Id="rId179" Type="http://schemas.openxmlformats.org/officeDocument/2006/relationships/hyperlink" Target="https://www.sec.gov/Archives/edgar/data/1411685/000143774921026161/ex_296584.htm" TargetMode="External"/><Relationship Id="rId182" Type="http://schemas.openxmlformats.org/officeDocument/2006/relationships/hyperlink" Target="https://www.sec.gov/Archives/edgar/data/1411685/000185173422000432/ex_406949.htm" TargetMode="External"/><Relationship Id="rId183" Type="http://schemas.openxmlformats.org/officeDocument/2006/relationships/hyperlink" Target="https://www.sec.gov/Archives/edgar/data/1411685/000185173422000662/ex_445594.htm" TargetMode="External"/><Relationship Id="rId184" Type="http://schemas.openxmlformats.org/officeDocument/2006/relationships/hyperlink" Target="https://www.sec.gov/Archives/edgar/data/1411685/000185173422000662/ex_445595.htm" TargetMode="External"/><Relationship Id="rId185" Type="http://schemas.openxmlformats.org/officeDocument/2006/relationships/hyperlink" Target="https://www.sec.gov/Archives/edgar/data/1411685/000185173423000035/ex_470766.htm" TargetMode="External"/><Relationship Id="rId186" Type="http://schemas.openxmlformats.org/officeDocument/2006/relationships/hyperlink" Target="https://www.sec.gov/Archives/edgar/data/1411685/000143774923018793/ex_537095.htm" TargetMode="External"/><Relationship Id="rId187" Type="http://schemas.openxmlformats.org/officeDocument/2006/relationships/hyperlink" Target="https://www.sec.gov/Archives/edgar/data/1411685/000185173422000662/ex_445596.htm" TargetMode="External"/><Relationship Id="rId188" Type="http://schemas.openxmlformats.org/officeDocument/2006/relationships/hyperlink" Target="https://www.sec.gov/Archives/edgar/data/1411685/000141168524000022/vtgn-20230810xexx10163.htm" TargetMode="External"/><Relationship Id="rId189" Type="http://schemas.openxmlformats.org/officeDocument/2006/relationships/hyperlink" Target="https://www.sec.gov/Archives/edgar/data/1411685/000143774923025509/ex_567993.htm" TargetMode="External"/><Relationship Id="rId190" Type="http://schemas.openxmlformats.org/officeDocument/2006/relationships/hyperlink" Target="https://www.sec.gov/Archives/edgar/data/1411685/000143774923031293/ex_594538.htm" TargetMode="External"/><Relationship Id="rId191" Type="http://schemas.openxmlformats.org/officeDocument/2006/relationships/hyperlink" Target="https://www.sec.gov/Archives/edgar/data/1411685/000143774923029096/ex_586441.htm" TargetMode="External"/><Relationship Id="rId192" Type="http://schemas.openxmlformats.org/officeDocument/2006/relationships/hyperlink" Target="https://www.sec.gov/Archives/edgar/data/1411685/000141168524000022/vtgn-20231002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2025-06-17T15:44:57Z</dcterms:created>
  <dcterms:modified xsi:type="dcterms:W3CDTF">2025-06-17T15:44:57Z</dcterms:modified>
</cp:coreProperties>
</file>