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140" w:hanging="970"/>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140" w:hanging="970"/>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1460"/>
        <w:spacing w:after="0"/>
        <w:tabs>
          <w:tab w:leader="none" w:pos="4760" w:val="left"/>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2433955</wp:posOffset>
            </wp:positionH>
            <wp:positionV relativeFrom="paragraph">
              <wp:posOffset>-7620</wp:posOffset>
            </wp:positionV>
            <wp:extent cx="1298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001-37761</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VISTAGEN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1700" w:type="dxa"/>
        <w:tblCellMar>
          <w:top w:w="0" w:type="dxa"/>
          <w:left w:w="0" w:type="dxa"/>
          <w:bottom w:w="0" w:type="dxa"/>
          <w:right w:w="0" w:type="dxa"/>
        </w:tblCellMar>
      </w:tblPr>
      <w:tr>
        <w:trPr>
          <w:trHeight w:val="220"/>
        </w:trPr>
        <w:tc>
          <w:tcPr>
            <w:tcW w:w="41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0"/>
              </w:rPr>
              <w:t>Nevada</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414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(State or other jurisdiction of</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140" w:type="dxa"/>
            <w:vAlign w:val="bottom"/>
          </w:tcPr>
          <w:p>
            <w:pPr>
              <w:jc w:val="center"/>
              <w:ind w:right="1830"/>
              <w:spacing w:after="0"/>
              <w:rPr>
                <w:sz w:val="20"/>
                <w:szCs w:val="20"/>
                <w:color w:val="auto"/>
              </w:rPr>
            </w:pPr>
            <w:r>
              <w:rPr>
                <w:rFonts w:ascii="Arial" w:cs="Arial" w:eastAsia="Arial" w:hAnsi="Arial"/>
                <w:sz w:val="18"/>
                <w:szCs w:val="18"/>
                <w:i w:val="1"/>
                <w:iCs w:val="1"/>
                <w:color w:val="auto"/>
                <w:w w:val="94"/>
              </w:rPr>
              <w:t>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4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620" w:type="dxa"/>
            <w:vAlign w:val="bottom"/>
          </w:tcPr>
          <w:p>
            <w:pPr>
              <w:spacing w:after="0"/>
              <w:rPr>
                <w:sz w:val="24"/>
                <w:szCs w:val="24"/>
                <w:color w:val="auto"/>
              </w:rPr>
            </w:pP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Trading Symbol(s)</w:t>
            </w:r>
          </w:p>
        </w:tc>
        <w:tc>
          <w:tcPr>
            <w:tcW w:w="12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3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VTGN</w:t>
            </w:r>
          </w:p>
        </w:tc>
        <w:tc>
          <w:tcPr>
            <w:tcW w:w="126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80" w:type="dxa"/>
            <w:vAlign w:val="bottom"/>
          </w:tcPr>
          <w:p>
            <w:pPr>
              <w:ind w:left="18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10, 2023, 9,362,444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980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Arial" w:cs="Arial" w:eastAsia="Arial" w:hAnsi="Arial"/>
                <w:sz w:val="18"/>
                <w:szCs w:val="18"/>
                <w:b w:val="1"/>
                <w:bCs w:val="1"/>
                <w:color w:val="auto"/>
              </w:rPr>
              <w:t>Page</w:t>
            </w:r>
          </w:p>
        </w:tc>
      </w:tr>
      <w:tr>
        <w:trPr>
          <w:trHeight w:val="21"/>
        </w:trPr>
        <w:tc>
          <w:tcPr>
            <w:tcW w:w="54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9800" w:type="dxa"/>
            <w:vAlign w:val="bottom"/>
            <w:shd w:val="clear" w:color="auto" w:fill="CCEEFF"/>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3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Item 1. Condensed Consolidated Financial Statements (Unaudited)</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Condensed Consolidated Balance Sheets as of June 30, 2023 and March 31, 2023</w:t>
            </w:r>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9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Condensed Consolidated Statements of Operations and Comprehensive Loss for the three months ended June 30, 2023 and 2022</w:t>
            </w:r>
          </w:p>
        </w:tc>
        <w:tc>
          <w:tcPr>
            <w:tcW w:w="8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Condensed Consolidated Statements of Cash Flows for the three months ended June 30, 2023 and 2022</w:t>
            </w:r>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9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Condensed Consolidated Statement of Changes in Stockholders’ Equity for the three months ended June 30, 2023 and 2022</w:t>
            </w:r>
          </w:p>
        </w:tc>
        <w:tc>
          <w:tcPr>
            <w:tcW w:w="8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Notes to the Condensed Consolidated Financial Statements</w:t>
            </w:r>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8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22</w:t>
            </w:r>
          </w:p>
        </w:tc>
        <w:tc>
          <w:tcPr>
            <w:tcW w:w="100" w:type="dxa"/>
            <w:vAlign w:val="bottom"/>
            <w:shd w:val="clear" w:color="auto" w:fill="CCEEFF"/>
          </w:tcPr>
          <w:p>
            <w:pPr>
              <w:spacing w:after="0"/>
              <w:rPr>
                <w:sz w:val="18"/>
                <w:szCs w:val="18"/>
                <w:color w:val="auto"/>
              </w:rPr>
            </w:pPr>
          </w:p>
        </w:tc>
      </w:tr>
      <w:tr>
        <w:trPr>
          <w:trHeight w:val="216"/>
        </w:trPr>
        <w:tc>
          <w:tcPr>
            <w:tcW w:w="10340" w:type="dxa"/>
            <w:vAlign w:val="bottom"/>
            <w:gridSpan w:val="2"/>
          </w:tcPr>
          <w:p>
            <w:pPr>
              <w:ind w:left="80"/>
              <w:spacing w:after="0"/>
              <w:rPr>
                <w:sz w:val="20"/>
                <w:szCs w:val="20"/>
                <w:color w:val="auto"/>
              </w:rPr>
            </w:pPr>
            <w:r>
              <w:rPr>
                <w:rFonts w:ascii="Arial" w:cs="Arial" w:eastAsia="Arial" w:hAnsi="Arial"/>
                <w:sz w:val="18"/>
                <w:szCs w:val="18"/>
                <w:color w:val="auto"/>
              </w:rPr>
              <w:t>Item 4. Controls and Procedures</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9800" w:type="dxa"/>
            <w:vAlign w:val="bottom"/>
          </w:tcPr>
          <w:p>
            <w:pPr>
              <w:ind w:left="3420"/>
              <w:spacing w:after="0"/>
              <w:rPr>
                <w:sz w:val="20"/>
                <w:szCs w:val="20"/>
                <w:color w:val="auto"/>
              </w:rPr>
            </w:pPr>
            <w:r>
              <w:rPr>
                <w:rFonts w:ascii="Arial" w:cs="Arial" w:eastAsia="Arial" w:hAnsi="Arial"/>
                <w:sz w:val="18"/>
                <w:szCs w:val="18"/>
                <w:b w:val="1"/>
                <w:bCs w:val="1"/>
                <w:color w:val="auto"/>
              </w:rPr>
              <w:t>PART II. OTHER INFORMATION</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980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1A. Risk Factors</w:t>
            </w:r>
          </w:p>
        </w:tc>
        <w:tc>
          <w:tcPr>
            <w:tcW w:w="8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Item 2.</w:t>
            </w:r>
          </w:p>
        </w:tc>
        <w:tc>
          <w:tcPr>
            <w:tcW w:w="980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Item 3.</w:t>
            </w:r>
          </w:p>
        </w:tc>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Defaults Upon Senior Secured Securities</w:t>
            </w:r>
          </w:p>
        </w:tc>
        <w:tc>
          <w:tcPr>
            <w:tcW w:w="8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75</w:t>
            </w: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9800" w:type="dxa"/>
            <w:vAlign w:val="bottom"/>
          </w:tcPr>
          <w:p>
            <w:pPr>
              <w:ind w:left="20"/>
              <w:spacing w:after="0"/>
              <w:rPr>
                <w:sz w:val="20"/>
                <w:szCs w:val="20"/>
                <w:color w:val="auto"/>
              </w:rPr>
            </w:pPr>
            <w:r>
              <w:rPr>
                <w:rFonts w:ascii="Arial" w:cs="Arial" w:eastAsia="Arial" w:hAnsi="Arial"/>
                <w:sz w:val="18"/>
                <w:szCs w:val="18"/>
                <w:color w:val="auto"/>
              </w:rPr>
              <w:t>Exhibits</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340" w:type="dxa"/>
            <w:vAlign w:val="bottom"/>
            <w:gridSpan w:val="2"/>
          </w:tcPr>
          <w:p>
            <w:pPr>
              <w:ind w:left="80"/>
              <w:spacing w:after="0"/>
              <w:rPr>
                <w:sz w:val="20"/>
                <w:szCs w:val="20"/>
                <w:color w:val="auto"/>
              </w:rPr>
            </w:pPr>
            <w:r>
              <w:rPr>
                <w:rFonts w:ascii="Arial" w:cs="Arial" w:eastAsia="Arial" w:hAnsi="Arial"/>
                <w:sz w:val="18"/>
                <w:szCs w:val="18"/>
                <w:color w:val="auto"/>
              </w:rPr>
              <w:t>SIGNATURES</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77</w:t>
            </w:r>
          </w:p>
        </w:tc>
        <w:tc>
          <w:tcPr>
            <w:tcW w:w="100" w:type="dxa"/>
            <w:vAlign w:val="bottom"/>
          </w:tcPr>
          <w:p>
            <w:pPr>
              <w:spacing w:after="0"/>
              <w:rPr>
                <w:sz w:val="20"/>
                <w:szCs w:val="20"/>
                <w:color w:val="auto"/>
              </w:rPr>
            </w:pPr>
          </w:p>
        </w:tc>
      </w:tr>
      <w:tr>
        <w:trPr>
          <w:trHeight w:val="560"/>
        </w:trPr>
        <w:tc>
          <w:tcPr>
            <w:tcW w:w="5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80" w:type="dxa"/>
            <w:vAlign w:val="bottom"/>
            <w:vMerge w:val="restart"/>
          </w:tcPr>
          <w:p>
            <w:pPr>
              <w:ind w:left="52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(Note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9,622,300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1,889,400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11,578,800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17,507,400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Right-of-use asset - operating lease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2,153,800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15,032,300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21,089,200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2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1,623,200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2,473,100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Note payable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784,200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1,990,100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non-current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8,183,300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9,009,200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8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at June 30, 2023 and March 31, 2023: no</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shares outstanding at June 30, 2023 and March 31, 2023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325,000,000 shares authorized at June 30, 2023 and March 31, 2023;</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7,879,673 and 7,315,583 shares issued at June 30, 2023 and March 31, 2023, respectively</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344,564,000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342,892,500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Treasury stock, at cost, 4,522 shares of common stock held at June 30, 2023 and March 31, 2023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(333,754,800)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(326,851,700)</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15,032,300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21,089,200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 xml:space="preserve">See accompanying notes to Condensed Consolidated Financial Statements, including Note 2, </w:t>
      </w:r>
      <w:r>
        <w:rPr>
          <w:rFonts w:ascii="Arial" w:cs="Arial" w:eastAsia="Arial" w:hAnsi="Arial"/>
          <w:sz w:val="18"/>
          <w:szCs w:val="18"/>
          <w:i w:val="1"/>
          <w:iCs w:val="1"/>
          <w:color w:val="auto"/>
        </w:rPr>
        <w:t>Basis of Presentation and Going Concern</w:t>
      </w:r>
      <w:r>
        <w:rPr>
          <w:rFonts w:ascii="Arial" w:cs="Arial" w:eastAsia="Arial" w:hAnsi="Arial"/>
          <w:sz w:val="18"/>
          <w:szCs w:val="18"/>
          <w:color w:val="auto"/>
        </w:rPr>
        <w:t>, for information on reverse split of common stock effective on June 6,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Sublicense revenue</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177,600</w:t>
            </w:r>
          </w:p>
        </w:tc>
        <w:tc>
          <w:tcPr>
            <w:tcW w:w="140" w:type="dxa"/>
            <w:vAlign w:val="bottom"/>
          </w:tcPr>
          <w:p>
            <w:pPr>
              <w:spacing w:after="0"/>
              <w:rPr>
                <w:sz w:val="18"/>
                <w:szCs w:val="18"/>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310,100</w:t>
            </w:r>
          </w:p>
        </w:tc>
        <w:tc>
          <w:tcPr>
            <w:tcW w:w="100" w:type="dxa"/>
            <w:vAlign w:val="bottom"/>
          </w:tcPr>
          <w:p>
            <w:pPr>
              <w:spacing w:after="0"/>
              <w:rPr>
                <w:sz w:val="18"/>
                <w:szCs w:val="18"/>
                <w:color w:val="auto"/>
              </w:rPr>
            </w:pPr>
          </w:p>
        </w:tc>
      </w:tr>
      <w:tr>
        <w:trPr>
          <w:trHeight w:val="210"/>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15,291,400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4,791,800</w:t>
            </w:r>
          </w:p>
        </w:tc>
        <w:tc>
          <w:tcPr>
            <w:tcW w:w="100" w:type="dxa"/>
            <w:vAlign w:val="bottom"/>
          </w:tcPr>
          <w:p>
            <w:pPr>
              <w:spacing w:after="0"/>
              <w:rPr>
                <w:sz w:val="18"/>
                <w:szCs w:val="18"/>
                <w:color w:val="auto"/>
              </w:rPr>
            </w:pPr>
          </w:p>
        </w:tc>
      </w:tr>
      <w:tr>
        <w:trPr>
          <w:trHeight w:val="210"/>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7,175,400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(6,997,800)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(19,773,100)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1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8"/>
                <w:szCs w:val="18"/>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(19,770,800)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Income taxes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(5,500)</w:t>
            </w:r>
          </w:p>
        </w:tc>
      </w:tr>
      <w:tr>
        <w:trPr>
          <w:trHeight w:val="25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(6,903,100)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6500" w:type="dxa"/>
            <w:vAlign w:val="bottom"/>
          </w:tcPr>
          <w:p>
            <w:pPr>
              <w:spacing w:after="0"/>
              <w:rPr>
                <w:sz w:val="17"/>
                <w:szCs w:val="17"/>
                <w:color w:val="auto"/>
              </w:rPr>
            </w:pPr>
          </w:p>
        </w:tc>
        <w:tc>
          <w:tcPr>
            <w:tcW w:w="180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r>
      <w:tr>
        <w:trPr>
          <w:trHeight w:val="25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(0.94)</w:t>
            </w: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r>
      <w:tr>
        <w:trPr>
          <w:trHeight w:val="196"/>
        </w:trPr>
        <w:tc>
          <w:tcPr>
            <w:tcW w:w="65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7,377,005</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6,886,736</w:t>
            </w:r>
          </w:p>
        </w:tc>
        <w:tc>
          <w:tcPr>
            <w:tcW w:w="100" w:type="dxa"/>
            <w:vAlign w:val="bottom"/>
            <w:tcBorders>
              <w:top w:val="single" w:sz="8" w:color="CCEEFF"/>
            </w:tcBorders>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 xml:space="preserve">See accompanying notes to Condensed Consolidated Financial Statements, including Note 2, </w:t>
      </w:r>
      <w:r>
        <w:rPr>
          <w:rFonts w:ascii="Arial" w:cs="Arial" w:eastAsia="Arial" w:hAnsi="Arial"/>
          <w:sz w:val="18"/>
          <w:szCs w:val="18"/>
          <w:i w:val="1"/>
          <w:iCs w:val="1"/>
          <w:color w:val="auto"/>
        </w:rPr>
        <w:t>Basis of Presentation and Going Concern</w:t>
      </w:r>
      <w:r>
        <w:rPr>
          <w:rFonts w:ascii="Arial" w:cs="Arial" w:eastAsia="Arial" w:hAnsi="Arial"/>
          <w:sz w:val="18"/>
          <w:szCs w:val="18"/>
          <w:color w:val="auto"/>
        </w:rPr>
        <w:t>, for information on reverse split of common stock effective on June 6,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Three Months Ended June 30,</w:t>
            </w:r>
          </w:p>
        </w:tc>
      </w:tr>
      <w:tr>
        <w:trPr>
          <w:trHeight w:val="209"/>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(6,903,100)</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(19,776,300)</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32,300</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956,900</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Amortization of operating lease right-of-use asset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(207,200)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1,100,800</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(104,900)</w:t>
            </w:r>
          </w:p>
        </w:tc>
      </w:tr>
      <w:tr>
        <w:trPr>
          <w:trHeight w:val="216"/>
        </w:trPr>
        <w:tc>
          <w:tcPr>
            <w:tcW w:w="7840" w:type="dxa"/>
            <w:vAlign w:val="bottom"/>
          </w:tcPr>
          <w:p>
            <w:pPr>
              <w:ind w:left="50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(160,900)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(281,000)</w:t>
            </w:r>
          </w:p>
        </w:tc>
      </w:tr>
      <w:tr>
        <w:trPr>
          <w:trHeight w:val="216"/>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2,006,900</w:t>
            </w:r>
          </w:p>
        </w:tc>
        <w:tc>
          <w:tcPr>
            <w:tcW w:w="100" w:type="dxa"/>
            <w:vAlign w:val="bottom"/>
            <w:shd w:val="clear" w:color="auto" w:fill="CCEEFF"/>
          </w:tcPr>
          <w:p>
            <w:pPr>
              <w:spacing w:after="0"/>
              <w:rPr>
                <w:sz w:val="18"/>
                <w:szCs w:val="18"/>
                <w:color w:val="auto"/>
              </w:rPr>
            </w:pPr>
          </w:p>
        </w:tc>
      </w:tr>
      <w:tr>
        <w:trPr>
          <w:trHeight w:val="20"/>
        </w:trPr>
        <w:tc>
          <w:tcPr>
            <w:tcW w:w="7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(7,890,900)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(15,968,300)</w:t>
            </w:r>
          </w:p>
        </w:tc>
      </w:tr>
      <w:tr>
        <w:trPr>
          <w:trHeight w:val="210"/>
        </w:trPr>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laboratory and other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(175,100)</w:t>
            </w:r>
          </w:p>
        </w:tc>
      </w:tr>
      <w:tr>
        <w:trPr>
          <w:trHeight w:val="20"/>
        </w:trPr>
        <w:tc>
          <w:tcPr>
            <w:tcW w:w="7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(175,100)</w:t>
            </w:r>
          </w:p>
        </w:tc>
      </w:tr>
      <w:tr>
        <w:trPr>
          <w:trHeight w:val="210"/>
        </w:trPr>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 including option exercises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w:t>
            </w:r>
          </w:p>
        </w:tc>
        <w:tc>
          <w:tcPr>
            <w:tcW w:w="100" w:type="dxa"/>
            <w:vAlign w:val="bottom"/>
            <w:shd w:val="clear" w:color="auto" w:fill="CCEEFF"/>
          </w:tcPr>
          <w:p>
            <w:pPr>
              <w:spacing w:after="0"/>
              <w:rPr>
                <w:sz w:val="18"/>
                <w:szCs w:val="18"/>
                <w:color w:val="auto"/>
              </w:rPr>
            </w:pPr>
          </w:p>
        </w:tc>
      </w:tr>
      <w:tr>
        <w:trPr>
          <w:trHeight w:val="202"/>
        </w:trPr>
        <w:tc>
          <w:tcPr>
            <w:tcW w:w="7840" w:type="dxa"/>
            <w:vAlign w:val="bottom"/>
          </w:tcPr>
          <w:p>
            <w:pPr>
              <w:ind w:left="180"/>
              <w:spacing w:after="0" w:line="201" w:lineRule="exact"/>
              <w:rPr>
                <w:sz w:val="20"/>
                <w:szCs w:val="20"/>
                <w:color w:val="auto"/>
              </w:rPr>
            </w:pPr>
            <w:r>
              <w:rPr>
                <w:rFonts w:ascii="Arial" w:cs="Arial" w:eastAsia="Arial" w:hAnsi="Arial"/>
                <w:sz w:val="18"/>
                <w:szCs w:val="18"/>
                <w:color w:val="auto"/>
                <w:w w:val="93"/>
              </w:rPr>
              <w:t>Net proceeds (expenses) from sale of common stock under At the Market (ATM) facility, net of deferred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4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(59,400)</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sale of common stock under Employee Stock Purchase Plan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51,600</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Repayment of financing lease obligations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 payable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(101,900)</w:t>
            </w:r>
          </w:p>
        </w:tc>
      </w:tr>
      <w:tr>
        <w:trPr>
          <w:trHeight w:val="20"/>
        </w:trPr>
        <w:tc>
          <w:tcPr>
            <w:tcW w:w="7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(5,500)</w:t>
            </w: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(16,148,900)</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68,135,300</w:t>
            </w:r>
          </w:p>
        </w:tc>
        <w:tc>
          <w:tcPr>
            <w:tcW w:w="100" w:type="dxa"/>
            <w:vAlign w:val="bottom"/>
          </w:tcPr>
          <w:p>
            <w:pPr>
              <w:spacing w:after="0"/>
              <w:rPr>
                <w:sz w:val="18"/>
                <w:szCs w:val="18"/>
                <w:color w:val="auto"/>
              </w:rPr>
            </w:pPr>
          </w:p>
        </w:tc>
      </w:tr>
      <w:tr>
        <w:trPr>
          <w:trHeight w:val="25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9,622,300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51,986,400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879,500</w:t>
            </w:r>
          </w:p>
        </w:tc>
        <w:tc>
          <w:tcPr>
            <w:tcW w:w="140" w:type="dxa"/>
            <w:vAlign w:val="bottom"/>
          </w:tcPr>
          <w:p>
            <w:pPr>
              <w:spacing w:after="0"/>
              <w:rPr>
                <w:sz w:val="18"/>
                <w:szCs w:val="18"/>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1,139,700</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office equipment subject to financing lease</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 xml:space="preserve">See accompanying notes to Condensed Consolidated Financial Statements, including Note 2, </w:t>
      </w:r>
      <w:r>
        <w:rPr>
          <w:rFonts w:ascii="Arial" w:cs="Arial" w:eastAsia="Arial" w:hAnsi="Arial"/>
          <w:sz w:val="18"/>
          <w:szCs w:val="18"/>
          <w:i w:val="1"/>
          <w:iCs w:val="1"/>
          <w:color w:val="auto"/>
        </w:rPr>
        <w:t>Basis of Presentation and Going Concern</w:t>
      </w:r>
      <w:r>
        <w:rPr>
          <w:rFonts w:ascii="Arial" w:cs="Arial" w:eastAsia="Arial" w:hAnsi="Arial"/>
          <w:sz w:val="18"/>
          <w:szCs w:val="18"/>
          <w:color w:val="auto"/>
        </w:rPr>
        <w:t>, for information on reverse split of common stock effective on June 6,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1860" w:type="dxa"/>
            <w:vAlign w:val="bottom"/>
            <w:gridSpan w:val="4"/>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6"/>
        </w:trPr>
        <w:tc>
          <w:tcPr>
            <w:tcW w:w="4180" w:type="dxa"/>
            <w:vAlign w:val="bottom"/>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Paid-in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4"/>
              </w:rPr>
              <w:t>Treasury</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9"/>
                <w:szCs w:val="19"/>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Stock</w:t>
            </w:r>
          </w:p>
        </w:tc>
        <w:tc>
          <w:tcPr>
            <w:tcW w:w="12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6,889,400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$ 336,280,500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(3,968,100)</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(267,604,000)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64,715,300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956,900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956,900</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Sale of common stock pursuant to 2019 Employee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56,100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56,100</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upon exercise of options for</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 for quarter ended June 30, 2022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(19,776,300)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(19,776,300)</w:t>
            </w:r>
          </w:p>
        </w:tc>
        <w:tc>
          <w:tcPr>
            <w:tcW w:w="0" w:type="dxa"/>
            <w:vAlign w:val="bottom"/>
          </w:tcPr>
          <w:p>
            <w:pPr>
              <w:spacing w:after="0"/>
              <w:rPr>
                <w:sz w:val="1"/>
                <w:szCs w:val="1"/>
                <w:color w:val="auto"/>
              </w:rPr>
            </w:pPr>
          </w:p>
        </w:tc>
      </w:tr>
      <w:tr>
        <w:trPr>
          <w:trHeight w:val="249"/>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6,895,233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$ 337,393,500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(3,968,100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(287,380,300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46,052,000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Balances at March 31, 2023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7,315,583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7,300</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$ 342,892,500</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(3,968,100)</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88"/>
              </w:rPr>
              <w:t>$ (326,851,700)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12,080,000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569,100</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Sale of common stock pursuant to 2019 Employee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840" w:type="dxa"/>
            <w:vAlign w:val="bottom"/>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 ATM purchase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1,098,200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1,098,800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 for quarter ended June 30, 2023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(6,903,100)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(6,903,100)</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7,879,673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$ 344,564,000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(3,968,100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(333,754,800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6,849,000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 xml:space="preserve">See accompanying notes to Condensed Consolidated Financial Statements, including Note 2, </w:t>
      </w:r>
      <w:r>
        <w:rPr>
          <w:rFonts w:ascii="Arial" w:cs="Arial" w:eastAsia="Arial" w:hAnsi="Arial"/>
          <w:sz w:val="18"/>
          <w:szCs w:val="18"/>
          <w:i w:val="1"/>
          <w:iCs w:val="1"/>
          <w:color w:val="auto"/>
        </w:rPr>
        <w:t>Basis of Presentation and Going Concern</w:t>
      </w:r>
      <w:r>
        <w:rPr>
          <w:rFonts w:ascii="Arial" w:cs="Arial" w:eastAsia="Arial" w:hAnsi="Arial"/>
          <w:sz w:val="18"/>
          <w:szCs w:val="18"/>
          <w:color w:val="auto"/>
        </w:rPr>
        <w:t>, for information on reverse split of common stock effective on June 6,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Vistagen Therapeutics, Inc., a Nevada corporation (which </w:t>
      </w:r>
      <w:r>
        <w:rPr>
          <w:rFonts w:ascii="Arial" w:cs="Arial" w:eastAsia="Arial" w:hAnsi="Arial"/>
          <w:sz w:val="17"/>
          <w:szCs w:val="17"/>
          <w:i w:val="1"/>
          <w:iCs w:val="1"/>
          <w:color w:val="auto"/>
        </w:rPr>
        <w:t>may</w:t>
      </w:r>
      <w:r>
        <w:rPr>
          <w:rFonts w:ascii="Arial" w:cs="Arial" w:eastAsia="Arial" w:hAnsi="Arial"/>
          <w:sz w:val="17"/>
          <w:szCs w:val="17"/>
          <w:color w:val="auto"/>
        </w:rPr>
        <w:t xml:space="preserve"> be referred to as </w:t>
      </w:r>
      <w:r>
        <w:rPr>
          <w:rFonts w:ascii="Arial" w:cs="Arial" w:eastAsia="Arial" w:hAnsi="Arial"/>
          <w:sz w:val="17"/>
          <w:szCs w:val="17"/>
          <w:i w:val="1"/>
          <w:iCs w:val="1"/>
          <w:color w:val="auto"/>
        </w:rPr>
        <w:t>Vistagen</w:t>
      </w:r>
      <w:r>
        <w:rPr>
          <w:rFonts w:ascii="Arial" w:cs="Arial" w:eastAsia="Arial" w:hAnsi="Arial"/>
          <w:sz w:val="17"/>
          <w:szCs w:val="17"/>
          <w:color w:val="auto"/>
        </w:rPr>
        <w:t xml:space="preserve">,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i w:val="1"/>
          <w:iCs w:val="1"/>
          <w:color w:val="auto"/>
        </w:rPr>
        <w:t>we</w:t>
      </w:r>
      <w:r>
        <w:rPr>
          <w:rFonts w:ascii="Arial" w:cs="Arial" w:eastAsia="Arial" w:hAnsi="Arial"/>
          <w:sz w:val="17"/>
          <w:szCs w:val="17"/>
          <w:color w:val="auto"/>
        </w:rPr>
        <w:t xml:space="preserve">, </w:t>
      </w:r>
      <w:r>
        <w:rPr>
          <w:rFonts w:ascii="Arial" w:cs="Arial" w:eastAsia="Arial" w:hAnsi="Arial"/>
          <w:sz w:val="17"/>
          <w:szCs w:val="17"/>
          <w:i w:val="1"/>
          <w:iCs w:val="1"/>
          <w:color w:val="auto"/>
        </w:rPr>
        <w:t>our</w:t>
      </w:r>
      <w:r>
        <w:rPr>
          <w:rFonts w:ascii="Arial" w:cs="Arial" w:eastAsia="Arial" w:hAnsi="Arial"/>
          <w:sz w:val="17"/>
          <w:szCs w:val="17"/>
          <w:color w:val="auto"/>
        </w:rPr>
        <w:t xml:space="preserve">, or </w:t>
      </w:r>
      <w:r>
        <w:rPr>
          <w:rFonts w:ascii="Arial" w:cs="Arial" w:eastAsia="Arial" w:hAnsi="Arial"/>
          <w:sz w:val="17"/>
          <w:szCs w:val="17"/>
          <w:i w:val="1"/>
          <w:iCs w:val="1"/>
          <w:color w:val="auto"/>
        </w:rPr>
        <w:t>us</w:t>
      </w:r>
      <w:r>
        <w:rPr>
          <w:rFonts w:ascii="Arial" w:cs="Arial" w:eastAsia="Arial" w:hAnsi="Arial"/>
          <w:sz w:val="17"/>
          <w:szCs w:val="17"/>
          <w:color w:val="auto"/>
        </w:rPr>
        <w:t>), is a late stage biopharmaceutical company aiming to transform the treatment landscape for individuals living with anxiety, depression and other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disorders. We are advancing therapeutics with the potential to be faster-acting and with fewer side effects and safety concerns than those currently available. Our pipeline includes six clinical-stage product candidates, including five investigational agents belonging to a new class of drugs known as pherines, in addition to AV-101, an oral prodrug of an antagonist of the glycine site of the N-methyl-D-aspartate receptor (</w:t>
      </w:r>
      <w:r>
        <w:rPr>
          <w:rFonts w:ascii="Arial" w:cs="Arial" w:eastAsia="Arial" w:hAnsi="Arial"/>
          <w:sz w:val="17"/>
          <w:szCs w:val="17"/>
          <w:i w:val="1"/>
          <w:iCs w:val="1"/>
          <w:color w:val="auto"/>
        </w:rPr>
        <w:t>NMDAR</w:t>
      </w:r>
      <w:r>
        <w:rPr>
          <w:rFonts w:ascii="Arial" w:cs="Arial" w:eastAsia="Arial" w:hAnsi="Arial"/>
          <w:sz w:val="17"/>
          <w:szCs w:val="17"/>
          <w:color w:val="auto"/>
        </w:rPr>
        <w:t>). Pherines are neuroactive nasal sprays with an innovative rapid-onset mechanism of action (</w:t>
      </w:r>
      <w:r>
        <w:rPr>
          <w:rFonts w:ascii="Arial" w:cs="Arial" w:eastAsia="Arial" w:hAnsi="Arial"/>
          <w:sz w:val="17"/>
          <w:szCs w:val="17"/>
          <w:i w:val="1"/>
          <w:iCs w:val="1"/>
          <w:color w:val="auto"/>
        </w:rPr>
        <w:t>MOA</w:t>
      </w:r>
      <w:r>
        <w:rPr>
          <w:rFonts w:ascii="Arial" w:cs="Arial" w:eastAsia="Arial" w:hAnsi="Arial"/>
          <w:sz w:val="17"/>
          <w:szCs w:val="17"/>
          <w:color w:val="auto"/>
        </w:rPr>
        <w:t>). They activate chemosensory neurons in the nasal cavity which selectively modulate key neural circuits in the brain without requiring systemic absorption or direct activity on neurons in the brain. AV-101 inhibits the activity of the ion channel of the NMDAR but does not block it, unlike approved NMDAR antagonists having significant side effects.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goal is to develop and commercialize, on our own or with strategic partners, a broad range of innovative therapies for neuropsychiatric, neurological and neuroendocrine disorders where current treatment options are inadequate to meet the needs of millions of patients in the U.S. and worldwide.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Pherine Product Candidates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Five of our product candidates – fasedienol (PH94B), itruvone (PH10), PH15, PH80 and PH284 – belong to a new class of drug candidates referred to as pherines. Pherines are odorless and tasteless neuroactive nasal sprays administered in low microgram level doses to selectively engage chemosensory neurons in the nasal cavity and induce fast-acting pharmacologic and behavioral benefits without requiring systemic absorption or direct activity on neurons in the brain. Specifically, each of our pherine product candidates is a distinct chemical entity that directly modulates particular areas of the brain, such as the limbic amygdala (the main fear and anxiety center of the brain), the hypothalamus (the thermoregulatory and appetite control areas of the brain), the hippocampus, the locus ceruleus, and the prefrontal cortex. We believe each of our pherine product candidates has the potential to be a fast-acting therapy for one or more CNS disorders, including social anxiety disorder (fasedienol), major depressive disorder (itruvone), cognitive impairment caused by mental fatigue (PH15), vasomotor syndrome (hot flashes) due to menopause, premenstrual dysphoric disorder and migraine headaches (PH80) and wasting syndrome and appetite stimulation (cachexia) (PH284), all without requiring apparent systemic absorption, binding to classic abuse liability receptors or other neurons in the brain or steroidal hormone receptors.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Fasedienol Nasal Spray for Social Anxiety Disorder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Fasedienol (PH94B) is a synthetic investigational pherine nasal spray from the androstane family in Phase 3 clinical development for the treatment of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When administered intranasally in microgram doses, fasedienol activates receptors of peripheral nasal chemosensory neurons connected to subsets of neurons in the olfactory bulbs that, in turn, connect to neurons in the limbic amygdala involved in the pathophysiology of SAD and potentially other anxiety and mood disorders. We believe fasedienol has the potential to achieve rapid-onset anti-anxiety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August 2023, we announced positive, statistically significant results from our PALISADE-2 Phase 3 study of fasedienol in adult patients with SAD as measured using the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We are planning to initiate two Phase 3 clinical studies of fasdienol in adult patients with SAD, PALISADE-3 using SUDS as the primary endpoint and FEARLESS using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as the primary endpoint.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Itruvone Nasal Spray for Major Depressive Disorder (MDD)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We believe itruvone has the potential to produce antidepressant effects without the side effects and safety concerns that may be associated with current antidepressants therapies. In June 2023, we completed a small Phase 1 study to investigate the safety and tolerability of itruvone in healthy adult subjects. Positive data from this study demonstrated that there were no reported treatment-related serious adverse events or discontinuations due to adverse events in the trial.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PH80 Nasal Spray for Women</w:t>
      </w:r>
      <w:r>
        <w:rPr>
          <w:rFonts w:ascii="Arial" w:cs="Arial" w:eastAsia="Arial" w:hAnsi="Arial"/>
          <w:sz w:val="18"/>
          <w:szCs w:val="18"/>
          <w:color w:val="auto"/>
        </w:rPr>
        <w:t>’</w:t>
      </w:r>
      <w:r>
        <w:rPr>
          <w:rFonts w:ascii="Arial" w:cs="Arial" w:eastAsia="Arial" w:hAnsi="Arial"/>
          <w:sz w:val="18"/>
          <w:szCs w:val="18"/>
          <w:b w:val="1"/>
          <w:bCs w:val="1"/>
          <w:i w:val="1"/>
          <w:iCs w:val="1"/>
          <w:color w:val="auto"/>
        </w:rPr>
        <w:t>s Health Disorders and Migraine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PH80 is an odorless, tasteless synthetic investigational pherine with a novel, rapid-onset potential MOA that is fundamentally differentiated from the MOA of all currently approved treatments for vasomotor symptoms (hot flashes) due to menopause and other women’s health disorders and migraine headaches. PH80 activates chemosensory neurons in the nasal cavity connected to neural circuits that modulate the basal forebrain associated with the control of body temperature, as well as the amygdala and hypothalamus, that have been linked to the pathology of migraine and other women’s health disorders such as premenstrual dysphoric disorder (</w:t>
      </w:r>
      <w:r>
        <w:rPr>
          <w:rFonts w:ascii="Arial" w:cs="Arial" w:eastAsia="Arial" w:hAnsi="Arial"/>
          <w:sz w:val="17"/>
          <w:szCs w:val="17"/>
          <w:i w:val="1"/>
          <w:iCs w:val="1"/>
          <w:color w:val="auto"/>
        </w:rPr>
        <w:t>PMDD</w:t>
      </w:r>
      <w:r>
        <w:rPr>
          <w:rFonts w:ascii="Arial" w:cs="Arial" w:eastAsia="Arial" w:hAnsi="Arial"/>
          <w:sz w:val="17"/>
          <w:szCs w:val="17"/>
          <w:color w:val="auto"/>
        </w:rPr>
        <w:t>). We are preparing to submit a U.S. investigational drug application (</w:t>
      </w:r>
      <w:r>
        <w:rPr>
          <w:rFonts w:ascii="Arial" w:cs="Arial" w:eastAsia="Arial" w:hAnsi="Arial"/>
          <w:sz w:val="17"/>
          <w:szCs w:val="17"/>
          <w:i w:val="1"/>
          <w:iCs w:val="1"/>
          <w:color w:val="auto"/>
        </w:rPr>
        <w:t>IND</w:t>
      </w:r>
      <w:r>
        <w:rPr>
          <w:rFonts w:ascii="Arial" w:cs="Arial" w:eastAsia="Arial" w:hAnsi="Arial"/>
          <w:sz w:val="17"/>
          <w:szCs w:val="17"/>
          <w:color w:val="auto"/>
        </w:rPr>
        <w:t>) to facilitate Phase 2B clinical development of PH80 for the treatment of moderate to severe vasomotor symptoms (hot flashes) due to menopause.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PH15 Nasal Spray for Cognitive and Psychomotor Performance and Improvement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PH15 is an odorless, tasteless synthetic investigational pherine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path forward to submit a U.S. IND for further clinical development of PH15 in the U.S., on our own or with collaborators, including the appropriate indication for demonstrating improvement of cognitive function.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PH284 Nasal Spray for Cachexia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PH284 is an odorless, tasteless synthetic investigational pherine with a novel, rapid-onset potential MOA that is fundamentally differentiated from the MOA of all currently approved treatments for the loss of appetite associated with chronic disorders such as cancer. We are currently evaluating the path forward to submit a U.S. IND for further clinical development of PH15 for the treatment of cachexia, on our own or with collaborators, including the appropriate patient populations for demonstrating an increase in appetite and weight gain.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 for Neurological Disorders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AV-101 (4-Cl-KYN) is a novel, oral prodrug that targets the NMDAR (N-methyl-D-aspartate receptor), an ionotropic glutamate receptor in the brain. Based on observations and findings from preclinical studies, we believe AV-101 has the potential to become a new oral treatment alternative for multiple CNS disorders, including levodopa-induced dyskinesia, neuropathic pain, seizures, MDD, and suicidal ideation. We are currently assessing a potential path forward for Phase 2A clinical development of AV-101, on our own or with collaborators, as a treatment for levodopa-induced dyskinesia associated with Parkinson’s disease therapy and possibly one or more additional neurological disorders involving the NMDAR receptor.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subsidiaries consist of Pherin Pharmaceuticals, Inc, a Delaware corporation (</w:t>
      </w:r>
      <w:r>
        <w:rPr>
          <w:rFonts w:ascii="Arial" w:cs="Arial" w:eastAsia="Arial" w:hAnsi="Arial"/>
          <w:sz w:val="18"/>
          <w:szCs w:val="18"/>
          <w:i w:val="1"/>
          <w:iCs w:val="1"/>
          <w:color w:val="auto"/>
        </w:rPr>
        <w:t>Pherin</w:t>
      </w:r>
      <w:r>
        <w:rPr>
          <w:rFonts w:ascii="Arial" w:cs="Arial" w:eastAsia="Arial" w:hAnsi="Arial"/>
          <w:sz w:val="18"/>
          <w:szCs w:val="18"/>
          <w:color w:val="auto"/>
        </w:rPr>
        <w:t>), and Vistastem, Inc., a California corporation founded in 1998 (</w:t>
      </w:r>
      <w:r>
        <w:rPr>
          <w:rFonts w:ascii="Arial" w:cs="Arial" w:eastAsia="Arial" w:hAnsi="Arial"/>
          <w:sz w:val="18"/>
          <w:szCs w:val="18"/>
          <w:i w:val="1"/>
          <w:iCs w:val="1"/>
          <w:color w:val="auto"/>
        </w:rPr>
        <w:t>Vistastem</w:t>
      </w:r>
      <w:r>
        <w:rPr>
          <w:rFonts w:ascii="Arial" w:cs="Arial" w:eastAsia="Arial" w:hAnsi="Arial"/>
          <w:sz w:val="18"/>
          <w:szCs w:val="18"/>
          <w:color w:val="auto"/>
        </w:rPr>
        <w:t>). For the relevant periods,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which was dissolved in April 2022, and VistaStem Canada, Inc., a corporation organized under the laws of Ontario, Canada (</w:t>
      </w:r>
      <w:r>
        <w:rPr>
          <w:rFonts w:ascii="Arial" w:cs="Arial" w:eastAsia="Arial" w:hAnsi="Arial"/>
          <w:sz w:val="18"/>
          <w:szCs w:val="18"/>
          <w:i w:val="1"/>
          <w:iCs w:val="1"/>
          <w:color w:val="auto"/>
        </w:rPr>
        <w:t>VistaStem Canada</w:t>
      </w:r>
      <w:r>
        <w:rPr>
          <w:rFonts w:ascii="Arial" w:cs="Arial" w:eastAsia="Arial" w:hAnsi="Arial"/>
          <w:sz w:val="18"/>
          <w:szCs w:val="18"/>
          <w:color w:val="auto"/>
        </w:rPr>
        <w:t>), which was dissolved in June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Basis of Presentation and Going Concern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w:t>
      </w:r>
      <w:r>
        <w:rPr>
          <w:rFonts w:ascii="Arial" w:cs="Arial" w:eastAsia="Arial" w:hAnsi="Arial"/>
          <w:sz w:val="17"/>
          <w:szCs w:val="17"/>
          <w:i w:val="1"/>
          <w:iCs w:val="1"/>
          <w:color w:val="auto"/>
        </w:rPr>
        <w:t>U.S. GAAP</w:t>
      </w:r>
      <w:r>
        <w:rPr>
          <w:rFonts w:ascii="Arial" w:cs="Arial" w:eastAsia="Arial" w:hAnsi="Arial"/>
          <w:sz w:val="17"/>
          <w:szCs w:val="17"/>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2023 has been derived from our audited consolidated financial statements at that date but does not include all disclosures required by U.S. GAAP. The operating results for the three months ended June 30, 2023 are not necessarily indicative of the operating results to be expected for our fiscal year ending March 31, 2024, or for any other future interim or other period.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2023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on June 28, 2023 (</w:t>
      </w:r>
      <w:r>
        <w:rPr>
          <w:rFonts w:ascii="Arial" w:cs="Arial" w:eastAsia="Arial" w:hAnsi="Arial"/>
          <w:sz w:val="17"/>
          <w:szCs w:val="17"/>
          <w:i w:val="1"/>
          <w:iCs w:val="1"/>
          <w:color w:val="auto"/>
        </w:rPr>
        <w:t>Form 10-K</w:t>
      </w:r>
      <w:r>
        <w:rPr>
          <w:rFonts w:ascii="Arial" w:cs="Arial" w:eastAsia="Arial" w:hAnsi="Arial"/>
          <w:sz w:val="17"/>
          <w:szCs w:val="17"/>
          <w:color w:val="auto"/>
        </w:rPr>
        <w:t>).</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June 6, 2023, we implemented a one-for-thirty (1-for-30) reverse split of our common stock (the </w:t>
      </w:r>
      <w:r>
        <w:rPr>
          <w:rFonts w:ascii="Arial" w:cs="Arial" w:eastAsia="Arial" w:hAnsi="Arial"/>
          <w:sz w:val="17"/>
          <w:szCs w:val="17"/>
          <w:i w:val="1"/>
          <w:iCs w:val="1"/>
          <w:color w:val="auto"/>
        </w:rPr>
        <w:t>Reverse Stock Split</w:t>
      </w:r>
      <w:r>
        <w:rPr>
          <w:rFonts w:ascii="Arial" w:cs="Arial" w:eastAsia="Arial" w:hAnsi="Arial"/>
          <w:sz w:val="17"/>
          <w:szCs w:val="17"/>
          <w:color w:val="auto"/>
        </w:rPr>
        <w:t>). At our 2022 Annual Meeting of Stockholders held on October 28, 2022, our stockholders authorized our Board of Directors (</w:t>
      </w:r>
      <w:r>
        <w:rPr>
          <w:rFonts w:ascii="Arial" w:cs="Arial" w:eastAsia="Arial" w:hAnsi="Arial"/>
          <w:sz w:val="17"/>
          <w:szCs w:val="17"/>
          <w:i w:val="1"/>
          <w:iCs w:val="1"/>
          <w:color w:val="auto"/>
        </w:rPr>
        <w:t>Board</w:t>
      </w:r>
      <w:r>
        <w:rPr>
          <w:rFonts w:ascii="Arial" w:cs="Arial" w:eastAsia="Arial" w:hAnsi="Arial"/>
          <w:sz w:val="17"/>
          <w:szCs w:val="17"/>
          <w:color w:val="auto"/>
        </w:rPr>
        <w:t>) to implement a reverse stock split of our issued and outstanding shares of common stock at a ratio of up to one-for-thirty, with the exact ratio to be determined at the discretion of the Board. The Board subsequently unanimously approved the ratio of one-for-thirty. Our common stock began trading on the Nasdaq Capital Market on a split-adjusted basis on June 7, 2023. The Reverse Stock Split reduced the number of shares of our common stock outstanding. Additionally, the number of shares and exercise prices of outstanding options to purchase common stock granted under our stockholder-approved option plans and outstanding warrants to purchase common stock have been adjusted proportionately. Our authorized shares of common stock remain at 325,000,000 and our authorized shares of preferred stock remain at 10,000,000. The par value of each of our common stock and preferred stock remains at $0.001 per share. All share and per share data for all periods presented in the accompanying financial statements and related disclosures in this Report have been adjusted retrospectively to reflect the Reverse Stock Split.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$333.8 million accumulated from inception ( May 1998) through June 30, 2023. We expect losses and negative cash flows from operations to continue for the foreseeable future as we engage in further development of fasedienol, itruvone, AV-101 and our other pherine product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Since our inception in May 1998 through June 30, 2023, we have financed our operations and technology acquisitions primarily through the issuance and sale of our equity and debt securities for cash proceeds of approximately $209.9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$41.3 million in noncash acquisitions of product licenses, the Pherin Acquisition, and in settlements of certain liabilities, including liabilities for professional services rendered to us or as compensation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Going Concern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We did not complete any capital-raising or other significant financing activities during Fiscal 2023. During the quarter ended June 30, 2023, we sold 561,418 shares of our common stock under the terms of our Open Market Sale Agreement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(the </w:t>
      </w:r>
      <w:r>
        <w:rPr>
          <w:rFonts w:ascii="Arial" w:cs="Arial" w:eastAsia="Arial" w:hAnsi="Arial"/>
          <w:sz w:val="16"/>
          <w:szCs w:val="16"/>
          <w:i w:val="1"/>
          <w:iCs w:val="1"/>
          <w:color w:val="auto"/>
        </w:rPr>
        <w:t>Sales Agreement)</w:t>
      </w:r>
      <w:r>
        <w:rPr>
          <w:rFonts w:ascii="Arial" w:cs="Arial" w:eastAsia="Arial" w:hAnsi="Arial"/>
          <w:sz w:val="16"/>
          <w:szCs w:val="16"/>
          <w:color w:val="auto"/>
        </w:rPr>
        <w:t xml:space="preserve"> for our at-the-market offering program (the </w:t>
      </w:r>
      <w:r>
        <w:rPr>
          <w:rFonts w:ascii="Arial" w:cs="Arial" w:eastAsia="Arial" w:hAnsi="Arial"/>
          <w:sz w:val="16"/>
          <w:szCs w:val="16"/>
          <w:i w:val="1"/>
          <w:iCs w:val="1"/>
          <w:color w:val="auto"/>
        </w:rPr>
        <w:t>ATM</w:t>
      </w:r>
      <w:r>
        <w:rPr>
          <w:rFonts w:ascii="Arial" w:cs="Arial" w:eastAsia="Arial" w:hAnsi="Arial"/>
          <w:sz w:val="16"/>
          <w:szCs w:val="16"/>
          <w:color w:val="auto"/>
        </w:rPr>
        <w:t xml:space="preserve">) resulting in gross cash proceeds of approximately $1.15 million. As disclosed in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since June 30, 2023, and through the date of the issuance of this Report, we sold an aggregate of 1,487,293 shares of our common stock under the Sales Agreement at a weighted average price of $11.36 per share and received gross cash proceeds of $16,893,700. Financing and other transactions consummated prior to Fiscal 2023 have provided the primary sources of our liquidity during Fiscal 2023 and through the date of this Report in our current fiscal year.</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cash and cash equivalents of approximately $9.6 million at June 30, 2023, which we believe will not be sufficient to fund our planned operations for the twelve months following the issuance of these Condensed Consolidated Financial Statements, which raises substantial doubt regarding our ability to continue as a going concern. We are continuing to manage our cash resources, including cash resources received since June 30, 2023, as we evaluate the potential implications for the initiation, conduct and timing of clinical trials, including Phase 3 trials of fasedienol, the Phase 2B trial of itruvone and nonclinical studies of our other pherine candidates, and strategies for the further development and potential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any of our product candidates.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next twelve months, subject to availability of adequate working capital or strategic partnering arrangements, either on our own or with collaborators, we plan to (i) prepare for and initiate, on our own or with a strategic partner, our Phase 3 PALISADE-3 and Phase 3 FEARLESS clinical trials of fasedienol as a potential new treatment of anxiety in adults with SAD, (ii) prepare for and initiate, on our own or with a strategic partner, a Phase 2B clinical trial of itruvone as a potential stand-alone treatment for MDD, (iii) prepare for and initiate, on our own or with a strategic partner, U.S. IND-enabling nonclinical activities to facilitate Phase 2B development, on or own or with a strategic partner, of PH80 for the treatment of vasomotor symptoms (hot flashes) due to menopause, (iv) prepare for and initiate, on our own or with a strategic partner, U.S. IND-enabling nonclinical activities to facilitate potential Phase 2A development of PH15 for cognitive and psychomotor performance improvement, PH284 for cachexia, (v) prepare for and initiate, on our own or with a strategic partner, Phase 2A development of AV-101 for one or more neurological disorders involving the NMDAR, and (vi) conduct various nonclinical studies involving each of our product candidates.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When necessary and advantageous, we will seek additional financial resources to fund our planned operations through (i) sales of our equity and/or debt securities in one or more public offerings and/or private placements, including sales of our securities under the Sales Agreement, (ii) non-dilutive government grants and research awards and (iii) non-dilutive strategic partnering collaborations to advance development and commercialization of our product candidates. However, no assurance can be provided that any such sales of our securities, awards, agreements or collaborations will occur in the future. Subject to certain restrictions, our Registration Statement on Form S-3 (the </w:t>
      </w:r>
      <w:r>
        <w:rPr>
          <w:rFonts w:ascii="Arial" w:cs="Arial" w:eastAsia="Arial" w:hAnsi="Arial"/>
          <w:sz w:val="17"/>
          <w:szCs w:val="17"/>
          <w:i w:val="1"/>
          <w:iCs w:val="1"/>
          <w:color w:val="auto"/>
        </w:rPr>
        <w:t>S-3 Shelf Registration Statement</w:t>
      </w:r>
      <w:r>
        <w:rPr>
          <w:rFonts w:ascii="Arial" w:cs="Arial" w:eastAsia="Arial" w:hAnsi="Arial"/>
          <w:sz w:val="17"/>
          <w:szCs w:val="17"/>
          <w:color w:val="auto"/>
        </w:rPr>
        <w:t>) remains available for future sales of our equity securities in one or more public offerings from time to time. While we may make additional sales of our equity securities under the S-3 Shelf Registration Statement and/or under the Sales Agreement, we do not have an obligation to do so.</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and funding from non-dilutive sources, and continue to carefully manage our operating costs, including, but not limited to, our clinical and nonclinical programs.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there can be no assurance that future financings will be available to us in sufficient amounts, in a timely manner, or on terms acceptable to us, if at all, or that current or future development and commercialization collaborations will generate revenue from future potential milestone payments or otherwise.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2020, we entered into a license and collaboration agreement with EverInsight Therapeutics Inc., a company incorporated under the laws of the British Virgin Islands, now AffaMed Therapeutics, Inc. (</w:t>
      </w:r>
      <w:r>
        <w:rPr>
          <w:rFonts w:ascii="Arial" w:cs="Arial" w:eastAsia="Arial" w:hAnsi="Arial"/>
          <w:sz w:val="17"/>
          <w:szCs w:val="17"/>
          <w:i w:val="1"/>
          <w:iCs w:val="1"/>
          <w:color w:val="auto"/>
        </w:rPr>
        <w:t>AffaMed</w:t>
      </w:r>
      <w:r>
        <w:rPr>
          <w:rFonts w:ascii="Arial" w:cs="Arial" w:eastAsia="Arial" w:hAnsi="Arial"/>
          <w:sz w:val="17"/>
          <w:szCs w:val="17"/>
          <w:color w:val="auto"/>
        </w:rPr>
        <w:t xml:space="preserve">), pursuant to which we granted AffaMed an exclusive license to develop, manufacture and commercialize fasedienol for multiple anxiety-related disorders in Greater China (Mainland China, Hong Kong, Macau and Taiwan), South Korea and Southeast Asia (Indonesia, Malaysia, Philippines, Thailand and Vietnam) (the </w:t>
      </w:r>
      <w:r>
        <w:rPr>
          <w:rFonts w:ascii="Arial" w:cs="Arial" w:eastAsia="Arial" w:hAnsi="Arial"/>
          <w:sz w:val="17"/>
          <w:szCs w:val="17"/>
          <w:i w:val="1"/>
          <w:iCs w:val="1"/>
          <w:color w:val="auto"/>
        </w:rPr>
        <w:t>AffaMed Agreement</w:t>
      </w:r>
      <w:r>
        <w:rPr>
          <w:rFonts w:ascii="Arial" w:cs="Arial" w:eastAsia="Arial" w:hAnsi="Arial"/>
          <w:sz w:val="17"/>
          <w:szCs w:val="17"/>
          <w:color w:val="auto"/>
        </w:rPr>
        <w:t>). The AffaMed Agreement has been the basis of our reported revenue for the quarters ending June 30, 2023 and 2022. The terms of the AffaMed Agreement include a $5.0 million non-refundable upfront license fee which we received in August 2020, potential payments based upon achievement of certain development and commercial milestones, and royalties on product sales. In prior years, we have occasionally generated revenue from collaborative research and development arrangements, licensing and technology transfer agreements, including strategic licenses or sublicenses, and government grants.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xml:space="preserve">) Topic 606,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ASC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Once a contract is determined to be within the scope of ASC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ASC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transaction price is then determined and allocated to the identified performance obligations in proportion to their standalone selling prices (</w:t>
      </w:r>
      <w:r>
        <w:rPr>
          <w:rFonts w:ascii="Arial" w:cs="Arial" w:eastAsia="Arial" w:hAnsi="Arial"/>
          <w:sz w:val="18"/>
          <w:szCs w:val="18"/>
          <w:i w:val="1"/>
          <w:iCs w:val="1"/>
          <w:color w:val="auto"/>
        </w:rPr>
        <w:t>SSP</w:t>
      </w:r>
      <w:r>
        <w:rPr>
          <w:rFonts w:ascii="Arial" w:cs="Arial" w:eastAsia="Arial" w:hAnsi="Arial"/>
          <w:sz w:val="18"/>
          <w:szCs w:val="18"/>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 For the single combined performance obligation under the AffaMed Agreement, the measure of progress is stand-ready straight-line over the period in which we expect to perform the services related to the license of fasedienol. Accordingly, we recognize revenue on a straight-line basis over the period in which we expect to perform the services. Revenue related to performance obligation satisfied over time could be materially impacted as a result of changes in the estimated time or effort necessary to satisfy the performance obligation.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difference between revenue recognized to date and the consideration invoiced or received to date is recognized as either a contract asset/unbilled revenue (revenue earned exceeds cash received) or a contract liability/deferred revenue (cash received exceeds revenue earned). As described more completely in Note 11, </w:t>
      </w:r>
      <w:r>
        <w:rPr>
          <w:rFonts w:ascii="Arial" w:cs="Arial" w:eastAsia="Arial" w:hAnsi="Arial"/>
          <w:sz w:val="17"/>
          <w:szCs w:val="17"/>
          <w:i w:val="1"/>
          <w:iCs w:val="1"/>
          <w:color w:val="auto"/>
        </w:rPr>
        <w:t>Sublicensing and Collaborative Agreements</w:t>
      </w:r>
      <w:r>
        <w:rPr>
          <w:rFonts w:ascii="Arial" w:cs="Arial" w:eastAsia="Arial" w:hAnsi="Arial"/>
          <w:sz w:val="17"/>
          <w:szCs w:val="17"/>
          <w:color w:val="auto"/>
        </w:rPr>
        <w:t>, based on the failed results of our PALISADE-1 clinical trial of fasedienol in adult patients with SAD, during the quarter ended September 30, 2022, we extended our estimate of the time necessary to complete our performance obligation under the AffaMed Agreement. In accordance with the guidance of ASC 606, the extension of the estimated time to complete our performance obligation required recording a cumulative catch-up adjustment. Following the cumulative catch-up adjustment, through June 30, 2023, we have recognized an aggregate of $2,148,700 as revenue under the AffaMed Agreement and, at that date, we have recorded $2,851,300 as deferred revenue. The following table presents changes in our contract liabilities for the three months ended June 30, 2023:</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 at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r>
      <w:tr>
        <w:trPr>
          <w:trHeight w:val="234"/>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March 31, 2023</w:t>
            </w:r>
          </w:p>
        </w:tc>
        <w:tc>
          <w:tcPr>
            <w:tcW w:w="2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8"/>
                <w:szCs w:val="18"/>
                <w:b w:val="1"/>
                <w:bCs w:val="1"/>
                <w:color w:val="auto"/>
              </w:rPr>
              <w:t>Additions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Deductions</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June 30, 2023</w:t>
            </w: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portion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714,300</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2,314,600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(177,600)</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2,137,000</w:t>
            </w:r>
          </w:p>
        </w:tc>
      </w:tr>
      <w:tr>
        <w:trPr>
          <w:trHeight w:val="25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3,028,900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2,851,300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June 30, 2022, we recognized $310,100 as revenue related to the AffaMed Agreement, which was subsequently derecognized during the quarter ended September 30, 2022 as a result of the cumulative catch-up adjustment.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quarter ended September 30, 2020, we made cash payments aggregating $345,000 for sublicense fees, which we were obligated to make pursuant to our prior fasedienol license agreement with Pherin, and fees for consulting services exclusively related to the AffaMed Agreement. Additionally, on June 24, 2020, we issued 7,779 unregistered shares of our common stock, valued at $125,000, as partial compensation for consulting services related exclusively to the consummation of the AffaMed Agreement. These sublicense fees and consulting payments and the fair value of the common stock issued, aggregating $470,000, were incurred solely to obtain the AffaMed Agreement, and, accordingly, have been capitalized as deferred contract acquisition costs in our Condensed Consolidated Balance Sheets. Capitalized contract acquisition costs are amortized over the period in which we expect to satisfy the performance obligation under the AffaMed Agreement and the amortization expense has been included in general and administrative expense in our Condensed Consolidated Statements of Operations and Comprehensive Loss. As described above, in September 2022, we extended our estimate for the time required to satisfy our performance obligation under the AffaMed Agreement. Accordingly, our amortization of the contract acquisition costs was also subject to a cumulative catch-up adjustment. Following the cumulative catch-up adjustment, through June 30, 2023, we have recognized an aggregate of $202,000 as contract acquisition expense under the AffaMed Agreement and, at that date, we have recorded $268,000 as deferred contract acquisition costs. There has been no impairment loss in relation to the costs capitalized.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 acquisition costs for the three months ended June 30, 2023:</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r>
      <w:tr>
        <w:trPr>
          <w:trHeight w:val="234"/>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 2023</w:t>
            </w:r>
          </w:p>
        </w:tc>
        <w:tc>
          <w:tcPr>
            <w:tcW w:w="1140" w:type="dxa"/>
            <w:vAlign w:val="bottom"/>
          </w:tcPr>
          <w:p>
            <w:pPr>
              <w:jc w:val="right"/>
              <w:ind w:right="41"/>
              <w:spacing w:after="0"/>
              <w:rPr>
                <w:sz w:val="20"/>
                <w:szCs w:val="20"/>
                <w:color w:val="auto"/>
              </w:rPr>
            </w:pPr>
            <w:r>
              <w:rPr>
                <w:rFonts w:ascii="Arial" w:cs="Arial" w:eastAsia="Arial" w:hAnsi="Arial"/>
                <w:sz w:val="18"/>
                <w:szCs w:val="18"/>
                <w:b w:val="1"/>
                <w:bCs w:val="1"/>
                <w:color w:val="auto"/>
              </w:rPr>
              <w:t>Additions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Deductions</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June 30, 2023</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current portion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5"/>
              </w:rPr>
              <w:t>Deferred Contract Acquisition Costs - non-current portion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217,600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(16,700)</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200,900</w:t>
            </w:r>
          </w:p>
        </w:tc>
      </w:tr>
      <w:tr>
        <w:trPr>
          <w:trHeight w:val="249"/>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284,700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2022, we recognized $29,100 as contract acquisition expense related to the AffaMed Agreement, which was subsequently derecognized during the quarter ended September 30, 2022 as a result of the cumulative catch-up adjustment.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composed of both internal and external costs. Internal costs include salaries and employment-related expense, including stock-based compensation expense, of scientific personnel and direct project costs. External research and development expense consists primarily of costs associated with clinical and nonclinical development of fasedienol, itruvone, AV-101. All such costs are charged to expense as incurred.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Costs incurred in obtaining product or technology licenses are charged immediately to research and development expense if, at acquisition, the product or technology licensed has not achieved regulatory approval or reached technical feasibility and has no alternative future uses. We treated our acquisition of Pherin in February 2023 (the </w:t>
      </w:r>
      <w:r>
        <w:rPr>
          <w:rFonts w:ascii="Arial" w:cs="Arial" w:eastAsia="Arial" w:hAnsi="Arial"/>
          <w:sz w:val="17"/>
          <w:szCs w:val="17"/>
          <w:i w:val="1"/>
          <w:iCs w:val="1"/>
          <w:color w:val="auto"/>
        </w:rPr>
        <w:t>Pherin Acquisition</w:t>
      </w:r>
      <w:r>
        <w:rPr>
          <w:rFonts w:ascii="Arial" w:cs="Arial" w:eastAsia="Arial" w:hAnsi="Arial"/>
          <w:sz w:val="17"/>
          <w:szCs w:val="17"/>
          <w:color w:val="auto"/>
        </w:rPr>
        <w:t>) as an acquisition of assets for accounting purposes. Since, at the date of the acquisition, neither fasedienol, itruvone nor the other three pherines acquired achieved regulatory approval and each required significant additional development and expense and were without alternative future use, we recorded the costs related to acquiring the assets as research and development expense in our Consolidated Statement of Operations and Comprehensive Loss for the fourth quarter of Fiscal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for all stock-based awards to employees, independent directors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others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4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309,400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329,600</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259,700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627,300</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569,100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 amounts reported above include $2,100 and $15,900 in research and development expense for the three months ended June 30, 2023 and 2022, respectively, and $1,400 and $4,900 in general and administrative expense for the three months ended June 30, 2023 and 2022, respectively, attributable to employee participation in our 2019 Employee Stock Purchase Plan (</w:t>
      </w:r>
      <w:r>
        <w:rPr>
          <w:rFonts w:ascii="Arial" w:cs="Arial" w:eastAsia="Arial" w:hAnsi="Arial"/>
          <w:sz w:val="18"/>
          <w:szCs w:val="18"/>
          <w:i w:val="1"/>
          <w:iCs w:val="1"/>
          <w:color w:val="auto"/>
        </w:rPr>
        <w:t>ESPP</w:t>
      </w:r>
      <w:r>
        <w:rPr>
          <w:rFonts w:ascii="Arial" w:cs="Arial" w:eastAsia="Arial" w:hAnsi="Arial"/>
          <w:sz w:val="18"/>
          <w:szCs w:val="18"/>
          <w:color w:val="auto"/>
        </w:rPr>
        <w: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three months ended June 30, 2023, we granted from our Amended and Restated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an option to purchase an aggregate of 10,000 shares of our common stock as a component of a settlement reached with a terminated former employee. The exercise price is equal to the closing market price of our common stock on the date of the grant. The option vests 25% on the grant date with the remaining shares vesting 30 days after grant. The option has a term of five years. We valued the option granted in June 2023 using the Black-Scholes Option Pricing Model and the following assumptions: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Assumption: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30"/>
        </w:trPr>
        <w:tc>
          <w:tcPr>
            <w:tcW w:w="7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09"/>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 price per share at grant date</w:t>
            </w: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128.95%</w:t>
            </w: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per share</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three months ended June 30, 2023, options to purchase an aggregate of 136 shares of our common stock expired unexercised and were returned to the 2019 Plan to be available for future issuance. At June 30, 2023, there were stock options outstanding under our 2016 Equity Incentive Plan (the </w:t>
      </w:r>
      <w:r>
        <w:rPr>
          <w:rFonts w:ascii="Arial" w:cs="Arial" w:eastAsia="Arial" w:hAnsi="Arial"/>
          <w:sz w:val="18"/>
          <w:szCs w:val="18"/>
          <w:i w:val="1"/>
          <w:iCs w:val="1"/>
          <w:color w:val="auto"/>
        </w:rPr>
        <w:t>2016</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and our 2019 Plan to purchase 712,555 shares of our common stock at a weighted average exercise price of $37.23 per share. At that date, there were</w:t>
      </w:r>
      <w:r>
        <w:rPr>
          <w:rFonts w:ascii="Arial" w:cs="Arial" w:eastAsia="Arial" w:hAnsi="Arial"/>
          <w:sz w:val="18"/>
          <w:szCs w:val="18"/>
          <w:i w:val="1"/>
          <w:iCs w:val="1"/>
          <w:color w:val="auto"/>
        </w:rPr>
        <w:t xml:space="preserve"> </w:t>
      </w:r>
      <w:r>
        <w:rPr>
          <w:rFonts w:ascii="Arial" w:cs="Arial" w:eastAsia="Arial" w:hAnsi="Arial"/>
          <w:sz w:val="18"/>
          <w:szCs w:val="18"/>
          <w:color w:val="auto"/>
        </w:rPr>
        <w:t>169,240 shares of our common stock available for future issuance under the 2019 Plan. There are no additional shares available for issuance under our 2016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Right-of-use Assets and Operating Lease Obligations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our leases following the guidance of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xml:space="preserv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ASU 2016-02</w:t>
      </w:r>
      <w:r>
        <w:rPr>
          <w:rFonts w:ascii="Arial" w:cs="Arial" w:eastAsia="Arial" w:hAnsi="Arial"/>
          <w:sz w:val="17"/>
          <w:szCs w:val="17"/>
          <w:color w:val="auto"/>
        </w:rPr>
        <w:t>).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7"/>
          <w:szCs w:val="17"/>
          <w:i w:val="1"/>
          <w:iCs w:val="1"/>
          <w:color w:val="auto"/>
        </w:rPr>
        <w:t>Right-of-use assets</w:t>
      </w:r>
      <w:r>
        <w:rPr>
          <w:rFonts w:ascii="Arial" w:cs="Arial" w:eastAsia="Arial" w:hAnsi="Arial"/>
          <w:sz w:val="17"/>
          <w:szCs w:val="17"/>
          <w:color w:val="auto"/>
        </w:rPr>
        <w:t>)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Condensed Consolidated Balance Sheets.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ASC 842 and its impact on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instruments. We deposit cash and cash equivalents with financial institutions which are insured to the maximum of federal limitations. Balances in these accounts may exceed federally insured limits at times.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attributable to common stockholders per share of common stock excludes the effect of dilution and is generally computed by dividing net loss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our net loss for both periods presented, potentially dilutive securities were excluded from the computation of diluted net loss per share, as their effect would be antidilutive. Potentially dilutive securities excluded in determining diluted net loss per share at June 30, 2023 and 2022 are as follows:</w:t>
      </w:r>
    </w:p>
    <w:p>
      <w:pPr>
        <w:spacing w:after="0" w:line="12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At June 30,</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At June 30,</w:t>
            </w:r>
          </w:p>
        </w:tc>
      </w:tr>
      <w:tr>
        <w:trPr>
          <w:trHeight w:val="234"/>
        </w:trPr>
        <w:tc>
          <w:tcPr>
            <w:tcW w:w="678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95"/>
        </w:trPr>
        <w:tc>
          <w:tcPr>
            <w:tcW w:w="6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Outstanding options under the Company's Amended and Restated 2016 (formerly 2008)</w:t>
            </w: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Stock Incentive Plan and 2019 Omnibus Equity Incentive Plan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712,555</w:t>
            </w:r>
          </w:p>
        </w:tc>
        <w:tc>
          <w:tcPr>
            <w:tcW w:w="2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657,613</w:t>
            </w:r>
          </w:p>
        </w:tc>
      </w:tr>
      <w:tr>
        <w:trPr>
          <w:trHeight w:val="216"/>
        </w:trPr>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309,195</w:t>
            </w:r>
          </w:p>
        </w:tc>
      </w:tr>
      <w:tr>
        <w:trPr>
          <w:trHeight w:val="20"/>
        </w:trPr>
        <w:tc>
          <w:tcPr>
            <w:tcW w:w="67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spacing w:after="0"/>
              <w:rPr>
                <w:sz w:val="20"/>
                <w:szCs w:val="20"/>
                <w:color w:val="auto"/>
              </w:rPr>
            </w:pPr>
            <w:r>
              <w:rPr>
                <w:rFonts w:ascii="Arial" w:cs="Arial" w:eastAsia="Arial" w:hAnsi="Arial"/>
                <w:sz w:val="18"/>
                <w:szCs w:val="18"/>
                <w:color w:val="auto"/>
              </w:rPr>
              <w:t>758,241</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966,808</w:t>
            </w:r>
          </w:p>
        </w:tc>
      </w:tr>
      <w:tr>
        <w:trPr>
          <w:trHeight w:val="20"/>
        </w:trPr>
        <w:tc>
          <w:tcPr>
            <w:tcW w:w="67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do not use derivative instruments for hedging market risks or for trading or speculative purposes. Our only financial assets that are measured on a recurring basis at fair value were $9,110,300 and $5,010,800 held in money market funds and classified as cash equivalents at June 30, 2023 and March 31, 2023, respectively. Our money market funds are classified within Level 1 of the fair value hierarchy and are valued based on quoted prices in active markets for identical securities. We had no financial liabilities that are measured on a recurring basis at fair value at June 30, 2023 or March 31,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Connection with Equity Financing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evaluate the appropriate balance sheet classification of warrants we issue as either equity or as a derivative liability. In accordance with ASC 815-40, </w:t>
      </w:r>
      <w:r>
        <w:rPr>
          <w:rFonts w:ascii="Arial" w:cs="Arial" w:eastAsia="Arial" w:hAnsi="Arial"/>
          <w:sz w:val="16"/>
          <w:szCs w:val="16"/>
          <w:i w:val="1"/>
          <w:iCs w:val="1"/>
          <w:color w:val="auto"/>
        </w:rPr>
        <w:t>Derivatives and Hedging-Contracts in the Entity</w:t>
      </w:r>
      <w:r>
        <w:rPr>
          <w:rFonts w:ascii="Arial" w:cs="Arial" w:eastAsia="Arial" w:hAnsi="Arial"/>
          <w:sz w:val="16"/>
          <w:szCs w:val="16"/>
          <w:color w:val="auto"/>
        </w:rPr>
        <w:t>’</w:t>
      </w:r>
      <w:r>
        <w:rPr>
          <w:rFonts w:ascii="Arial" w:cs="Arial" w:eastAsia="Arial" w:hAnsi="Arial"/>
          <w:sz w:val="16"/>
          <w:szCs w:val="16"/>
          <w:i w:val="1"/>
          <w:iCs w:val="1"/>
          <w:color w:val="auto"/>
        </w:rPr>
        <w:t xml:space="preserve">s Own Equity </w:t>
      </w:r>
      <w:r>
        <w:rPr>
          <w:rFonts w:ascii="Arial" w:cs="Arial" w:eastAsia="Arial" w:hAnsi="Arial"/>
          <w:sz w:val="16"/>
          <w:szCs w:val="16"/>
          <w:color w:val="auto"/>
        </w:rPr>
        <w:t>(</w:t>
      </w:r>
      <w:r>
        <w:rPr>
          <w:rFonts w:ascii="Arial" w:cs="Arial" w:eastAsia="Arial" w:hAnsi="Arial"/>
          <w:sz w:val="16"/>
          <w:szCs w:val="16"/>
          <w:i w:val="1"/>
          <w:iCs w:val="1"/>
          <w:color w:val="auto"/>
        </w:rPr>
        <w:t>ASC 815-40</w:t>
      </w:r>
      <w:r>
        <w:rPr>
          <w:rFonts w:ascii="Arial" w:cs="Arial" w:eastAsia="Arial" w:hAnsi="Arial"/>
          <w:sz w:val="16"/>
          <w:szCs w:val="16"/>
          <w:color w:val="auto"/>
        </w:rPr>
        <w:t>), we classify a warrant as equity if it is “indexed to the Company’s equity”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or ASC 815-40, it is classified as a derivative liability which is carried on the Consolidated Balance Sheets at fair value with any changes in its fair value recognized immediately in the Statements of Operations and Comprehensive Loss. At June 30, 2023 and March 31, 2023, all of our outstanding warrants were classified as equity.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326)(ASU 2016-13)</w:t>
      </w:r>
      <w:r>
        <w:rPr>
          <w:rFonts w:ascii="Arial" w:cs="Arial" w:eastAsia="Arial" w:hAnsi="Arial"/>
          <w:sz w:val="16"/>
          <w:szCs w:val="16"/>
          <w:color w:val="auto"/>
        </w:rPr>
        <w:t>, which (i) significantly changes the impairment model for most financial assets that are measured at amortized cost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other instruments from an incurred loss model to an expected loss model which is based on an estimate of current expected credit loss (</w:t>
      </w:r>
      <w:r>
        <w:rPr>
          <w:rFonts w:ascii="Arial" w:cs="Arial" w:eastAsia="Arial" w:hAnsi="Arial"/>
          <w:sz w:val="16"/>
          <w:szCs w:val="16"/>
          <w:i w:val="1"/>
          <w:iCs w:val="1"/>
          <w:color w:val="auto"/>
        </w:rPr>
        <w:t>CECL</w:t>
      </w:r>
      <w:r>
        <w:rPr>
          <w:rFonts w:ascii="Arial" w:cs="Arial" w:eastAsia="Arial" w:hAnsi="Arial"/>
          <w:sz w:val="16"/>
          <w:szCs w:val="16"/>
          <w:color w:val="auto"/>
        </w:rPr>
        <w:t>) (ASC-326-20); and (ii) provides for recording credit losses on available for sale debt securities through an allowance account (ASC 326-30). We adopted ASU 2016-13 on April 1, 2023. Our adoption of ASU 2016-13 did not have a material impact on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recent accounting pronouncement is of significance or potential significance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xml:space="preserve">) issued ASU 2020-06, </w:t>
      </w:r>
      <w:r>
        <w:rPr>
          <w:rFonts w:ascii="Arial" w:cs="Arial" w:eastAsia="Arial" w:hAnsi="Arial"/>
          <w:sz w:val="16"/>
          <w:szCs w:val="16"/>
          <w:i w:val="1"/>
          <w:iCs w:val="1"/>
          <w:color w:val="auto"/>
        </w:rPr>
        <w:t>Debt</w:t>
      </w:r>
      <w:r>
        <w:rPr>
          <w:rFonts w:ascii="Arial" w:cs="Arial" w:eastAsia="Arial" w:hAnsi="Arial"/>
          <w:sz w:val="16"/>
          <w:szCs w:val="16"/>
          <w:color w:val="auto"/>
        </w:rPr>
        <w:t xml:space="preserve"> – </w:t>
      </w:r>
      <w:r>
        <w:rPr>
          <w:rFonts w:ascii="Arial" w:cs="Arial" w:eastAsia="Arial" w:hAnsi="Arial"/>
          <w:sz w:val="16"/>
          <w:szCs w:val="16"/>
          <w:i w:val="1"/>
          <w:iCs w:val="1"/>
          <w:color w:val="auto"/>
        </w:rPr>
        <w:t>Debt with Conversion and Other Options (Subtopic 470-</w:t>
      </w:r>
    </w:p>
    <w:p>
      <w:pPr>
        <w:spacing w:after="0" w:line="46" w:lineRule="exact"/>
        <w:rPr>
          <w:sz w:val="20"/>
          <w:szCs w:val="20"/>
          <w:color w:val="auto"/>
        </w:rPr>
      </w:pPr>
    </w:p>
    <w:p>
      <w:pPr>
        <w:jc w:val="both"/>
        <w:ind w:firstLine="8"/>
        <w:spacing w:after="0" w:line="255" w:lineRule="auto"/>
        <w:tabs>
          <w:tab w:leader="none" w:pos="307"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Derivatives 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w:t>
      </w:r>
      <w:r>
        <w:rPr>
          <w:rFonts w:ascii="Arial" w:cs="Arial" w:eastAsia="Arial" w:hAnsi="Arial"/>
          <w:sz w:val="18"/>
          <w:szCs w:val="18"/>
          <w:color w:val="auto"/>
        </w:rPr>
        <w:t>’</w:t>
      </w:r>
      <w:r>
        <w:rPr>
          <w:rFonts w:ascii="Arial" w:cs="Arial" w:eastAsia="Arial" w:hAnsi="Arial"/>
          <w:sz w:val="18"/>
          <w:szCs w:val="18"/>
          <w:i w:val="1"/>
          <w:iCs w:val="1"/>
          <w:color w:val="auto"/>
        </w:rPr>
        <w:t>s Own Equity (Subtopic 815-40):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w:t>
      </w:r>
      <w:r>
        <w:rPr>
          <w:rFonts w:ascii="Arial" w:cs="Arial" w:eastAsia="Arial" w:hAnsi="Arial"/>
          <w:sz w:val="18"/>
          <w:szCs w:val="18"/>
          <w:i w:val="1"/>
          <w:iCs w:val="1"/>
          <w:color w:val="auto"/>
        </w:rPr>
        <w:t>ASU 2020-06</w:t>
      </w:r>
      <w:r>
        <w:rPr>
          <w:rFonts w:ascii="Arial" w:cs="Arial" w:eastAsia="Arial" w:hAnsi="Arial"/>
          <w:sz w:val="18"/>
          <w:szCs w:val="18"/>
          <w:color w:val="auto"/>
        </w:rPr>
        <w:t>), to reduce complexity in applying U.S. GAAP to certain financial instruments with characteristics of liabilities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equity.</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guidance in ASU 2020-06 simplifies the accounting for convertible debt instruments and convertible preferred stock by removing the existing guidance in ASC 470-20, </w:t>
      </w:r>
      <w:r>
        <w:rPr>
          <w:rFonts w:ascii="Arial" w:cs="Arial" w:eastAsia="Arial" w:hAnsi="Arial"/>
          <w:sz w:val="17"/>
          <w:szCs w:val="17"/>
          <w:i w:val="1"/>
          <w:iCs w:val="1"/>
          <w:color w:val="auto"/>
        </w:rPr>
        <w:t>Debt: Debt with Conversion and Other Options</w:t>
      </w:r>
      <w:r>
        <w:rPr>
          <w:rFonts w:ascii="Arial" w:cs="Arial" w:eastAsia="Arial" w:hAnsi="Arial"/>
          <w:sz w:val="17"/>
          <w:szCs w:val="17"/>
          <w:color w:val="auto"/>
        </w:rPr>
        <w:t>,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amendments in ASU 2020-06 further revise the guidance in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to require entities to calculate diluted earnings per share (</w:t>
      </w:r>
      <w:r>
        <w:rPr>
          <w:rFonts w:ascii="Arial" w:cs="Arial" w:eastAsia="Arial" w:hAnsi="Arial"/>
          <w:sz w:val="18"/>
          <w:szCs w:val="18"/>
          <w:i w:val="1"/>
          <w:iCs w:val="1"/>
          <w:color w:val="auto"/>
        </w:rPr>
        <w:t>EPS</w:t>
      </w:r>
      <w:r>
        <w:rPr>
          <w:rFonts w:ascii="Arial" w:cs="Arial" w:eastAsia="Arial" w:hAnsi="Arial"/>
          <w:sz w:val="18"/>
          <w:szCs w:val="18"/>
          <w:color w:val="auto"/>
        </w:rPr>
        <w:t>) for convertible instruments by using the if-converted method. In addition, entities must presume share settlement for purposes of calculating diluted EPS when an instrument may be settled in cash or shares.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amendments in ASU 2020-06 are effective for our fiscal year beginning April 1, 2024. We are evaluating the impact of this new guidance, but do not believe that our adoption of ASU 2020-06 will have a material impact on our Condensed Consolidated Financial Statements.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standard-setting bodies that do not require adoption until a future date are not expected to have a material impact on our Condensed Consolidated Financial Statements upon adoption.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are composed of the following:</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and nonclinical materials and contract services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166,700</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1,044,000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206,000</w:t>
            </w:r>
          </w:p>
        </w:tc>
      </w:tr>
      <w:tr>
        <w:trPr>
          <w:trHeight w:val="216"/>
        </w:trPr>
        <w:tc>
          <w:tcPr>
            <w:tcW w:w="1120" w:type="dxa"/>
            <w:vAlign w:val="bottom"/>
          </w:tcPr>
          <w:p>
            <w:pPr>
              <w:spacing w:after="0"/>
              <w:rPr>
                <w:sz w:val="18"/>
                <w:szCs w:val="18"/>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for insurance claim</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Receivable from collaboration partner</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274,700</w:t>
            </w:r>
          </w:p>
        </w:tc>
      </w:tr>
      <w:tr>
        <w:trPr>
          <w:trHeight w:val="216"/>
        </w:trPr>
        <w:tc>
          <w:tcPr>
            <w:tcW w:w="1120" w:type="dxa"/>
            <w:vAlign w:val="bottom"/>
          </w:tcPr>
          <w:p>
            <w:pPr>
              <w:spacing w:after="0"/>
              <w:rPr>
                <w:sz w:val="18"/>
                <w:szCs w:val="18"/>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licenses and all other</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155,300</w:t>
            </w:r>
          </w:p>
        </w:tc>
      </w:tr>
      <w:tr>
        <w:trPr>
          <w:trHeight w:val="210"/>
        </w:trPr>
        <w:tc>
          <w:tcPr>
            <w:tcW w:w="1120" w:type="dxa"/>
            <w:vAlign w:val="bottom"/>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1120" w:type="dxa"/>
            <w:vAlign w:val="bottom"/>
          </w:tcPr>
          <w:p>
            <w:pPr>
              <w:spacing w:after="0"/>
              <w:rPr>
                <w:sz w:val="20"/>
                <w:szCs w:val="20"/>
                <w:color w:val="auto"/>
              </w:rPr>
            </w:pPr>
          </w:p>
        </w:tc>
        <w:tc>
          <w:tcPr>
            <w:tcW w:w="49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1,889,400</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802,700</w:t>
            </w:r>
          </w:p>
        </w:tc>
      </w:tr>
      <w:tr>
        <w:trPr>
          <w:trHeight w:val="20"/>
        </w:trPr>
        <w:tc>
          <w:tcPr>
            <w:tcW w:w="11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amounts reported as receivable from collaboration partner at June 30, 2023 and March 31, 2023 represent payments we made to a CRO and another service provider for project and clinical trial services on behalf of our collaboration partner. Our collaboration partner reimbursed us for $174,700 in May 2023. The receivable for insurance claim represents insurance reimbursement related to matters associated with a terminated former employee. We received the reimbursement from our insurance carrier in July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Property and equipment, net is composed of the following:</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1,234,800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1,234,800</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214,400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214,400</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211,200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211,200</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1,700,700</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1,700,700</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(1,224,900)</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(1,193,400)</w:t>
            </w:r>
          </w:p>
        </w:tc>
      </w:tr>
      <w:tr>
        <w:trPr>
          <w:trHeight w:val="249"/>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475,800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depreciation and amortization expense of $31,500 and $32,300 for the three months ended June 30, 2023 and 2022, respectively. Included in amounts reported above for office furniture and equipment is the right-of-use asset related to a financing lease of certain office equipment. Amounts associated with assets subject to the financing lease are as follows: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subject to financing lease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4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book value of office equipment subject to financing lease</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office equipment lease commenced in April 2022 and requires a monthly payment of approximately $200 through June 2027.</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Note 6. Accrued Expenses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Accrued expenses are composed of the following:</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3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r>
      <w:tr>
        <w:trPr>
          <w:trHeight w:val="195"/>
        </w:trPr>
        <w:tc>
          <w:tcPr>
            <w:tcW w:w="1300" w:type="dxa"/>
            <w:vAlign w:val="bottom"/>
          </w:tcPr>
          <w:p>
            <w:pPr>
              <w:spacing w:after="0"/>
              <w:rPr>
                <w:sz w:val="16"/>
                <w:szCs w:val="16"/>
                <w:color w:val="auto"/>
              </w:rPr>
            </w:pPr>
          </w:p>
        </w:tc>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Accrued expenses for clinical and nonclinical materials, development and contract</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1300" w:type="dxa"/>
            <w:vAlign w:val="bottom"/>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364,700</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412,100</w:t>
            </w:r>
          </w:p>
        </w:tc>
      </w:tr>
      <w:tr>
        <w:trPr>
          <w:trHeight w:val="216"/>
        </w:trPr>
        <w:tc>
          <w:tcPr>
            <w:tcW w:w="13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337,200</w:t>
            </w:r>
          </w:p>
        </w:tc>
      </w:tr>
      <w:tr>
        <w:trPr>
          <w:trHeight w:val="216"/>
        </w:trPr>
        <w:tc>
          <w:tcPr>
            <w:tcW w:w="13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38,100</w:t>
            </w:r>
          </w:p>
        </w:tc>
      </w:tr>
      <w:tr>
        <w:trPr>
          <w:trHeight w:val="216"/>
        </w:trPr>
        <w:tc>
          <w:tcPr>
            <w:tcW w:w="13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0"/>
        </w:trPr>
        <w:tc>
          <w:tcPr>
            <w:tcW w:w="130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424,700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both periods, accrued expenses for clinical and nonclinical services includes accrued clinical trial expenses and other amounts accrued for contract manufacturing and product development services. Accrued compensation at March 31, 2023 includes an accrual of $300,000 representing an estimated liability associated with matters related to a terminated former employee. The liability was paid in June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Note 7. Note Payable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gridSpan w:val="8"/>
          </w:tcPr>
          <w:p>
            <w:pPr>
              <w:spacing w:after="0"/>
              <w:rPr>
                <w:sz w:val="20"/>
                <w:szCs w:val="20"/>
                <w:color w:val="auto"/>
              </w:rPr>
            </w:pPr>
            <w:r>
              <w:rPr>
                <w:rFonts w:ascii="Arial" w:cs="Arial" w:eastAsia="Arial" w:hAnsi="Arial"/>
                <w:sz w:val="18"/>
                <w:szCs w:val="18"/>
                <w:color w:val="auto"/>
                <w:w w:val="96"/>
              </w:rPr>
              <w:t>The following table summarizes our outstanding note payable at June 30, 2023 and March 31, 2023: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8"/>
              </w:rPr>
              <w:t>June 30, 2023</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93"/>
              </w:rPr>
              <w:t>March 31, 2023</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Accrued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Accrued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Balance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color w:val="auto"/>
                <w:w w:val="89"/>
              </w:rPr>
              <w:t>Interest</w:t>
            </w: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Balance</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color w:val="auto"/>
                <w:w w:val="89"/>
              </w:rPr>
              <w:t>Interest</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Note payable to insurance premium financing company</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   784,200</w:t>
            </w:r>
          </w:p>
        </w:tc>
        <w:tc>
          <w:tcPr>
            <w:tcW w:w="22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784,200</w:t>
            </w:r>
          </w:p>
        </w:tc>
        <w:tc>
          <w:tcPr>
            <w:tcW w:w="114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   105,300</w:t>
            </w:r>
          </w:p>
        </w:tc>
        <w:tc>
          <w:tcPr>
            <w:tcW w:w="3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(current)</w:t>
            </w:r>
          </w:p>
        </w:tc>
        <w:tc>
          <w:tcPr>
            <w:tcW w:w="9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2022, we executed a 3.88% promissory note in the principal amount of $1,139,700 in connection with certain insurance policy premiums. The note was payable in monthly installments of $105,600, including principal and interest, and was paid in full in April 2023. In May 2023, we executed a 7.43% promissory note in the principal amount of $879,500 in connection with certain insurance policy renewal premiums. The note is payable in monthly installments of $100,800, including principal and interest, through February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Split of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6, 2023, we implemented a one-for-thirty (1-for-30) Reverse Stock Split. The Reverse Stock Split reduced the number of shares of our common stock outstanding. Additionally, the number of shares and exercise prices of outstanding options to purchase common stock granted under our stockholder-approved option plans and outstanding warrants to purchase common stock have been adjusted proportionately. Our authorized shares of common stock remain at 325,000,000 and our authorized shares of preferred stock remain at 10,000,000. The par value of each of our common stock and preferred stock remains at $0.001 per share. All share and per share data for all periods presented in the accompanying financial statements and related disclosures in this Report have been adjusted retrospectively to reflect the Reverse Stock Split.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2021, we entered into the Sales Agreement with Jefferies LLC, as sales agent (</w:t>
      </w:r>
      <w:r>
        <w:rPr>
          <w:rFonts w:ascii="Arial" w:cs="Arial" w:eastAsia="Arial" w:hAnsi="Arial"/>
          <w:sz w:val="18"/>
          <w:szCs w:val="18"/>
          <w:i w:val="1"/>
          <w:iCs w:val="1"/>
          <w:color w:val="auto"/>
        </w:rPr>
        <w:t>Jefferies</w:t>
      </w:r>
      <w:r>
        <w:rPr>
          <w:rFonts w:ascii="Arial" w:cs="Arial" w:eastAsia="Arial" w:hAnsi="Arial"/>
          <w:sz w:val="18"/>
          <w:szCs w:val="18"/>
          <w:color w:val="auto"/>
        </w:rPr>
        <w:t xml:space="preserve">), with respect to our ATM offering program under which we may, in our sole discretion, offer and sell, from time to time, shares of our common stock having an aggregate offering price of up to $75.0 million through Jefferies. During June 2023, we sold an aggregate of 561,418 shares of our common stock and received net cash proceeds of $1,117,300 under the ATM. We did not sell any shares of our common stock under the ATM during Fiscal 2023. Refer to Note 12,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sales of common stock under the ATM after June 30, 2023.</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May 2021 and March 31, 2023, we incurred legal fees and accounting expenses aggregating approximately $450,300 in connection with the Sales Agreement. During the three months ended June 30, 2023, we did not incur additional legal fees and accounting expenses related to the Sales Agreement, but we amortized $17,300 of such expenses to additional paid-in capital in connection with sales under the ATM during that period. The Sales Agreement will terminate upon the earlier of (i) the sale of all shares subject to the Sales Agreement or (ii) the termination of the Sales Agreement by Jefferies or by us, as permitted.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Employee Stock Purchase Plan Purchases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were no stock option exercises during the quarter ended June 30, 2023. During the quarter ended June 30, 2022, the holder of an outstanding stock option exercised the option to purchase 3,334 shares of our common stock and we received cash proceeds of $100,000. On June 30, 2023, our ESPP completed a purchase period pursuant to which we issued 2,672 shares of our registered common stock and received proceeds of $4,200. On June 30, 2022, our ESPP completed a purchase period pursuant to which we issued 2,500 shares of our registered common stock and received proceeds of $56,100.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 and Expirations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warrant exercises or expirations during the quarters ended June 30, 2023 or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warrants outstanding and exercisable as of June 30, 2023. All outstanding warrants are currently exercisable and the weighted average exercise price of such warrants at June 30, 2023 is $16.87 per share.</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Warrants Outstanding</w:t>
            </w:r>
          </w:p>
        </w:tc>
      </w:tr>
      <w:tr>
        <w:trPr>
          <w:trHeight w:val="216"/>
        </w:trPr>
        <w:tc>
          <w:tcPr>
            <w:tcW w:w="26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80" w:type="dxa"/>
            <w:vAlign w:val="bottom"/>
          </w:tcPr>
          <w:p>
            <w:pPr>
              <w:spacing w:after="0"/>
              <w:rPr>
                <w:sz w:val="18"/>
                <w:szCs w:val="18"/>
                <w:color w:val="auto"/>
              </w:rPr>
            </w:pPr>
          </w:p>
        </w:tc>
        <w:tc>
          <w:tcPr>
            <w:tcW w:w="2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and Exercisable at</w:t>
            </w:r>
          </w:p>
        </w:tc>
      </w:tr>
      <w:tr>
        <w:trPr>
          <w:trHeight w:val="234"/>
        </w:trPr>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20"/>
                <w:szCs w:val="20"/>
                <w:color w:val="auto"/>
              </w:rPr>
            </w:pPr>
          </w:p>
        </w:tc>
      </w:tr>
      <w:tr>
        <w:trPr>
          <w:trHeight w:val="209"/>
        </w:trPr>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940" w:type="dxa"/>
            <w:vAlign w:val="bottom"/>
            <w:gridSpan w:val="2"/>
          </w:tcPr>
          <w:p>
            <w:pPr>
              <w:spacing w:after="0"/>
              <w:rPr>
                <w:sz w:val="18"/>
                <w:szCs w:val="18"/>
                <w:color w:val="auto"/>
              </w:rPr>
            </w:pPr>
          </w:p>
        </w:tc>
        <w:tc>
          <w:tcPr>
            <w:tcW w:w="2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15.00</w:t>
            </w:r>
          </w:p>
        </w:tc>
        <w:tc>
          <w:tcPr>
            <w:tcW w:w="4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12/9/2024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21.90</w:t>
            </w:r>
          </w:p>
        </w:tc>
        <w:tc>
          <w:tcPr>
            <w:tcW w:w="49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7/25/2025</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12,352</w:t>
            </w:r>
          </w:p>
        </w:tc>
        <w:tc>
          <w:tcPr>
            <w:tcW w:w="100" w:type="dxa"/>
            <w:vAlign w:val="bottom"/>
          </w:tcPr>
          <w:p>
            <w:pPr>
              <w:spacing w:after="0"/>
              <w:rPr>
                <w:sz w:val="18"/>
                <w:szCs w:val="18"/>
                <w:color w:val="auto"/>
              </w:rPr>
            </w:pPr>
          </w:p>
        </w:tc>
      </w:tr>
      <w:tr>
        <w:trPr>
          <w:trHeight w:val="249"/>
        </w:trPr>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2020, we filed a Registration Statement on Form S-3 covering the resale of the shares underlying all of the currently outstanding warrants (the </w:t>
      </w:r>
      <w:r>
        <w:rPr>
          <w:rFonts w:ascii="Arial" w:cs="Arial" w:eastAsia="Arial" w:hAnsi="Arial"/>
          <w:sz w:val="18"/>
          <w:szCs w:val="18"/>
          <w:i w:val="1"/>
          <w:iCs w:val="1"/>
          <w:color w:val="auto"/>
        </w:rPr>
        <w:t>Warrant Registration Statement</w:t>
      </w:r>
      <w:r>
        <w:rPr>
          <w:rFonts w:ascii="Arial" w:cs="Arial" w:eastAsia="Arial" w:hAnsi="Arial"/>
          <w:sz w:val="18"/>
          <w:szCs w:val="18"/>
          <w:color w:val="auto"/>
        </w:rPr>
        <w:t>). The SEC declared the Warrant Registration Statement effective on May 13, 2020. No outstanding warrant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down round anti-dilution protection feature. All of the outstanding warrants are exercisable by the holders only by payment in cash of the stated exercise price per share.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2022, we entered into a consulting agreement with FitzPatrick Co. LLC, a consulting firm for which Margaret FitzPatrick, an independent member of our Board, is Managing Director, to provide corporate development and public relations advisory services. The agreement, as amended, currently continues through December 2023. We recorded expense of $30,000 and $45,000 during the quarters ended June 30, 2023 and 2022, respectively, of which all had been paid for the quarter ended June 30, 2023 and $15,000 of which was included in accounts payable at June 30, 2022.</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11, 2022, Ann Cunningham resigned as our Chief Commercial Officer, but remains a member of our Board. Following Ms. Cunningham’s resignation as Chief Commercial Officer, i3 Strategy Partners, a consulting firm for which Ms. Cunningham is the Managing Partner, began providing certain advisory services to us pursuant to a consulting agreement. The initial term of the consulting agreement will end on March 31, 2024, and, pursuant to the agreement, i3 Strategy Partners received a fee of $120,000 for the period from the effective date of the agreement through March 31, 2023. During the quarter ended June 30, 2023, we recorded expense of $34,600 attributable to this agreement, all of which had been paid at that date.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lease our headquarters office and laboratory space in South San Francisco, California, under the terms of a lease that was set to expire on July 31, 2022, but which provided an option to renew for an additional five years at then-current market rates. For the purpose of determining the right-of-use asset and associated lease liability, we determined that the renewal of this lease for the period from August 2022 through July 2027 was reasonably probable at the time we adopted ASC 842. On October 14, 2021, we entered into an amendment to the lease (the </w:t>
      </w:r>
      <w:r>
        <w:rPr>
          <w:rFonts w:ascii="Arial" w:cs="Arial" w:eastAsia="Arial" w:hAnsi="Arial"/>
          <w:sz w:val="16"/>
          <w:szCs w:val="16"/>
          <w:i w:val="1"/>
          <w:iCs w:val="1"/>
          <w:color w:val="auto"/>
        </w:rPr>
        <w:t>Lease Amendment</w:t>
      </w:r>
      <w:r>
        <w:rPr>
          <w:rFonts w:ascii="Arial" w:cs="Arial" w:eastAsia="Arial" w:hAnsi="Arial"/>
          <w:sz w:val="16"/>
          <w:szCs w:val="16"/>
          <w:color w:val="auto"/>
        </w:rPr>
        <w:t xml:space="preserve">), pursuant to which the term of the lease was extended from August 1, 2022 to July 31, 2027 and the base rent under the lease for the five-year extension period was specified. Under the terms of the Lease Amendment, we have the option to renew the lease for an additional five-year term commencing on August 1, 2027. Consistent with our adoption of </w:t>
      </w:r>
      <w:r>
        <w:rPr>
          <w:rFonts w:ascii="Arial" w:cs="Arial" w:eastAsia="Arial" w:hAnsi="Arial"/>
          <w:sz w:val="16"/>
          <w:szCs w:val="16"/>
          <w:i w:val="1"/>
          <w:iCs w:val="1"/>
          <w:color w:val="auto"/>
        </w:rPr>
        <w:t>ASC 842</w:t>
      </w:r>
      <w:r>
        <w:rPr>
          <w:rFonts w:ascii="Arial" w:cs="Arial" w:eastAsia="Arial" w:hAnsi="Arial"/>
          <w:sz w:val="16"/>
          <w:szCs w:val="16"/>
          <w:color w:val="auto"/>
        </w:rPr>
        <w:t>, beginning April 1, 2019, we recorded this lease in our Consolidated Balance Sheets as an operating lease. The lease of our South San Francisco facilities does not include any restrictions or covenants requiring special treatment under ASC 842.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June 30, 2023</w:t>
            </w:r>
          </w:p>
        </w:tc>
        <w:tc>
          <w:tcPr>
            <w:tcW w:w="1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As of March 31, 2023</w:t>
            </w:r>
          </w:p>
        </w:tc>
        <w:tc>
          <w:tcPr>
            <w:tcW w:w="4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Right-of-use asset – operating lease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2,153,800</w:t>
            </w:r>
          </w:p>
        </w:tc>
        <w:tc>
          <w:tcPr>
            <w:tcW w:w="2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2,260,300</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operating lease obligation</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485,600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Non-current operating lease obligation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1,990,100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2,119,800</w:t>
            </w:r>
          </w:p>
        </w:tc>
        <w:tc>
          <w:tcPr>
            <w:tcW w:w="4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2,491,200</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r>
      <w:tr>
        <w:trPr>
          <w:trHeight w:val="412"/>
        </w:trPr>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380" w:type="dxa"/>
            <w:vAlign w:val="bottom"/>
          </w:tcPr>
          <w:p>
            <w:pPr>
              <w:jc w:val="right"/>
              <w:ind w:right="12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summarizes the effect of operating lease costs our Condensed Consolidated Statements of Operations:</w:t>
      </w:r>
    </w:p>
    <w:p>
      <w:pPr>
        <w:spacing w:after="0" w:line="221"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5715</wp:posOffset>
            </wp:positionV>
            <wp:extent cx="2049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ind w:left="7380"/>
        <w:spacing w:after="0"/>
        <w:tabs>
          <w:tab w:leader="none" w:pos="90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0491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223" w:lineRule="exact"/>
        <w:rPr>
          <w:sz w:val="20"/>
          <w:szCs w:val="20"/>
          <w:color w:val="auto"/>
        </w:rPr>
      </w:pPr>
    </w:p>
    <w:p>
      <w:pPr>
        <w:ind w:left="1140"/>
        <w:spacing w:after="0"/>
        <w:tabs>
          <w:tab w:leader="none" w:pos="6780" w:val="left"/>
          <w:tab w:leader="none" w:pos="7720" w:val="left"/>
          <w:tab w:leader="none" w:pos="8480" w:val="left"/>
          <w:tab w:leader="none" w:pos="9420" w:val="left"/>
        </w:tabs>
        <w:rPr>
          <w:sz w:val="20"/>
          <w:szCs w:val="20"/>
          <w:color w:val="auto"/>
        </w:rPr>
      </w:pPr>
      <w:r>
        <w:rPr>
          <w:rFonts w:ascii="Arial" w:cs="Arial" w:eastAsia="Arial" w:hAnsi="Arial"/>
          <w:sz w:val="18"/>
          <w:szCs w:val="18"/>
          <w:color w:val="auto"/>
        </w:rPr>
        <w:t>Operating lease cost</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35"/>
          <w:szCs w:val="35"/>
          <w:color w:val="auto"/>
          <w:vertAlign w:val="superscript"/>
        </w:rPr>
        <w:t>215,300</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24"/>
          <w:szCs w:val="24"/>
          <w:color w:val="auto"/>
          <w:vertAlign w:val="superscript"/>
        </w:rPr>
        <w:t>197,200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-253365</wp:posOffset>
            </wp:positionV>
            <wp:extent cx="570928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minimum (base rental) lease payments related to our South San Francisco operating lease are expected to be as follows: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Fiscal Years Ending March 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Amount</w:t>
            </w:r>
          </w:p>
        </w:tc>
      </w:tr>
      <w:tr>
        <w:trPr>
          <w:trHeight w:val="209"/>
        </w:trPr>
        <w:tc>
          <w:tcPr>
            <w:tcW w:w="7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520,500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710,200</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731,500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753,500</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28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2,969,300</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(478,100)</w:t>
            </w:r>
          </w:p>
        </w:tc>
      </w:tr>
      <w:tr>
        <w:trPr>
          <w:trHeight w:val="20"/>
        </w:trPr>
        <w:tc>
          <w:tcPr>
            <w:tcW w:w="7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280" w:type="dxa"/>
            <w:vAlign w:val="bottom"/>
          </w:tcPr>
          <w:p>
            <w:pPr>
              <w:ind w:left="180"/>
              <w:spacing w:after="0"/>
              <w:rPr>
                <w:sz w:val="20"/>
                <w:szCs w:val="20"/>
                <w:color w:val="auto"/>
              </w:rPr>
            </w:pPr>
            <w:r>
              <w:rPr>
                <w:rFonts w:ascii="Arial" w:cs="Arial" w:eastAsia="Arial" w:hAnsi="Arial"/>
                <w:sz w:val="18"/>
                <w:szCs w:val="18"/>
                <w:color w:val="auto"/>
              </w:rPr>
              <w:t>Present value of operating lease liabilities</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2,491,200</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remaining lease term, which does not include the optional five-year extension at the expiration of the lease period ending July 31, 2027, and the discount rate assumption for our South San Francisco operating lease are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18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As of June 30, 2023</w:t>
            </w:r>
          </w:p>
        </w:tc>
        <w:tc>
          <w:tcPr>
            <w:tcW w:w="100" w:type="dxa"/>
            <w:vAlign w:val="bottom"/>
          </w:tcPr>
          <w:p>
            <w:pPr>
              <w:spacing w:after="0"/>
              <w:rPr>
                <w:sz w:val="20"/>
                <w:szCs w:val="20"/>
                <w:color w:val="auto"/>
              </w:rPr>
            </w:pPr>
          </w:p>
        </w:tc>
      </w:tr>
      <w:tr>
        <w:trPr>
          <w:trHeight w:val="209"/>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Assumed discount rate</w:t>
            </w:r>
          </w:p>
        </w:tc>
        <w:tc>
          <w:tcPr>
            <w:tcW w:w="1820" w:type="dxa"/>
            <w:vAlign w:val="bottom"/>
          </w:tcPr>
          <w:p>
            <w:pPr>
              <w:jc w:val="right"/>
              <w:ind w:right="53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40" w:type="dxa"/>
            <w:vAlign w:val="bottom"/>
            <w:gridSpan w:val="3"/>
          </w:tcPr>
          <w:p>
            <w:pPr>
              <w:ind w:left="400"/>
              <w:spacing w:after="0"/>
              <w:rPr>
                <w:sz w:val="20"/>
                <w:szCs w:val="20"/>
                <w:color w:val="auto"/>
              </w:rPr>
            </w:pPr>
            <w:r>
              <w:rPr>
                <w:rFonts w:ascii="Arial" w:cs="Arial" w:eastAsia="Arial" w:hAnsi="Arial"/>
                <w:sz w:val="18"/>
                <w:szCs w:val="18"/>
                <w:b w:val="1"/>
                <w:bCs w:val="1"/>
                <w:color w:val="auto"/>
                <w:w w:val="90"/>
              </w:rPr>
              <w:t>For the Three Months Ended</w:t>
            </w:r>
          </w:p>
        </w:tc>
        <w:tc>
          <w:tcPr>
            <w:tcW w:w="2560" w:type="dxa"/>
            <w:vAlign w:val="bottom"/>
            <w:gridSpan w:val="4"/>
          </w:tcPr>
          <w:p>
            <w:pPr>
              <w:ind w:left="220"/>
              <w:spacing w:after="0"/>
              <w:rPr>
                <w:sz w:val="20"/>
                <w:szCs w:val="20"/>
                <w:color w:val="auto"/>
              </w:rPr>
            </w:pPr>
            <w:r>
              <w:rPr>
                <w:rFonts w:ascii="Arial" w:cs="Arial" w:eastAsia="Arial" w:hAnsi="Arial"/>
                <w:sz w:val="18"/>
                <w:szCs w:val="18"/>
                <w:b w:val="1"/>
                <w:bCs w:val="1"/>
                <w:color w:val="auto"/>
                <w:w w:val="95"/>
              </w:rPr>
              <w:t>For the Three Months Ended</w:t>
            </w:r>
          </w:p>
        </w:tc>
      </w:tr>
      <w:tr>
        <w:trPr>
          <w:trHeight w:val="234"/>
        </w:trPr>
        <w:tc>
          <w:tcPr>
            <w:tcW w:w="5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2022</w:t>
            </w: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paid for amounts included in the measurement of lease liabilities</w:t>
            </w: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223,100</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2023, we did not record any new right-of-use assets arising from new operating lease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in each of the three-month periods ended June 30, 2023 and 2022, attributable to this lease.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Sublicensing and Collaborative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June 24, 2020, we entered into the AffaMed Agreement, pursuant to which we granted AffaMed an exclusive license to develop and commercialize fasedienol for SAD and other anxiety-related disorders in Greater China, South Korea and Southeast Asia (which includes Indonesia, Malaysia, Philippines, Thailand and Vietnam) (collectively, the </w:t>
      </w:r>
      <w:r>
        <w:rPr>
          <w:rFonts w:ascii="Arial" w:cs="Arial" w:eastAsia="Arial" w:hAnsi="Arial"/>
          <w:sz w:val="18"/>
          <w:szCs w:val="18"/>
          <w:i w:val="1"/>
          <w:iCs w:val="1"/>
          <w:color w:val="auto"/>
        </w:rPr>
        <w:t>Territory</w:t>
      </w:r>
      <w:r>
        <w:rPr>
          <w:rFonts w:ascii="Arial" w:cs="Arial" w:eastAsia="Arial" w:hAnsi="Arial"/>
          <w:sz w:val="18"/>
          <w:szCs w:val="18"/>
          <w:color w:val="auto"/>
        </w:rPr>
        <w:t>). We retain exclusive development and commercialization rights for fasedienol in the U.S. and throughout the rest of the world.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AffaMed Agreement, AffaMed is responsible for all costs related to developing, obtaining regulatory approval of, and commercializing fasedienol for treatment of SAD, and potentially other anxiety-related indications, in the Territory. A joint development committee has been established between us and AffaMed to coordinate and review the development and commercialization plans with respect to fasedienol in the Territory.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We are responsible for pursuing clinical development and regulatory submissions of fasedienol for an as needed treatment of anxiety in adults with SAD, and potentially other anxiety-related indications, in the United States on a “best efforts” basis, with no guarantee of success. AffaMed has the option to participate in a Phase 3 clinical trial of fasedienol involving all or a portion of the Territory and will be responsible for a portion of the costs of such a trial, if conducted. We will transfer all development data (nonclinical and clinical data) and our regulatory documentation related to fasedienol throughout the term as it is developed or generated or otherwise comes into our control. We will grant to AffaMed a Right of Reference to all of our regulatory documentation and our development data.</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AffaMed Agreement, AffaMed agreed to pay us a non-refundable upfront license payment of $5.0 million within 30 business days of the effective date of the AffaMed Agreement, and AffaMed paid the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determined that we have one combined performance obligation for the license to develop and commercialize fasedienol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fasedienol. Accordingly, we recognize revenue on a straight-line basis over the period in which we expect to perform the services.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Significant management judgment is required to determine the level of effort attributable to the performance obligation included in the AffaMed Agreement and the period over which we expect to complete our performance obligation. The performance period or measure of progress is estimated at the inception of the arrangement and re-evaluated in subsequent reporting periods. This re-evaluation may shorten or lengthen the period over which we recognize revenue. Due to the failure our PALISADE-1 clinical trial of fasedienol in adult patients with SAD to meet its primary efficacy endpoint and the resulting anticipated delay in subsequent clinical and regulatory processes for fasedienol, at September 30, 2022, we estimated that our performance obligation under the AffaMed Agreement will be completed in mid-calendar 2027 rather than mid-calendar 2024. We have not revised our estimate since September 30, 2022, however, we will further adjust our estimates, as necessary, in subsequent periods as we obtain additional information on which to base our projections. As described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as a result of the change in our estimate of the time required to complete our performance obligation, we recorded a cumulative catch-up adjustment at September 30, 2022 pursuant to which we derecognized an aggregate of $892,500 of previously recognized revenue. Following the cumulative catch-up adjustment, through June 30, 2023, we have recognized an aggregate of $2,148,700 as revenue under the AffaMed Agreement. At June 30, 2023, the aggregate amount of the transaction price allocated to the remaining performance obligation (deferred revenue) is $2,851,300, which will be recognized as revenue as our performance obligation is completed.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earlier terminated due to certain material breaches of the contract, or otherwise, the AffaMed Agreement will expire on a jurisdiction-by-jurisdiction basis until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evaluated events subsequent to June 30, 2023 and through the date of this Report and have identified the following matter requiring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 under the Sales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June 30, 2023 and through the date of the issuance of this Report, we sold an aggregate of 1,487,293 shares of our common stock under the Sales Agreement at a weighted average price of $11.36 per share and received gross cash proceeds of $16,893,700.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1" w:name="page22"/>
    <w:bookmarkEnd w:id="21"/>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w:t>
      </w:r>
      <w:r>
        <w:rPr>
          <w:rFonts w:ascii="Arial" w:cs="Arial" w:eastAsia="Arial" w:hAnsi="Arial"/>
          <w:sz w:val="17"/>
          <w:szCs w:val="17"/>
          <w:color w:val="auto"/>
        </w:rPr>
        <w:t>’</w:t>
      </w:r>
      <w:r>
        <w:rPr>
          <w:rFonts w:ascii="Arial" w:cs="Arial" w:eastAsia="Arial" w:hAnsi="Arial"/>
          <w:sz w:val="17"/>
          <w:szCs w:val="17"/>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This Quarterly Report on Form 10-Q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w:t>
      </w:r>
      <w:r>
        <w:rPr>
          <w:rFonts w:ascii="Arial" w:cs="Arial" w:eastAsia="Arial" w:hAnsi="Arial"/>
          <w:sz w:val="16"/>
          <w:szCs w:val="16"/>
          <w:color w:val="auto"/>
        </w:rPr>
        <w:t>“</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our ability to obtain, maintain and enforce patents on our products once approved for marketing, the impact of competitive products, product development, commercialization and technological difficulties, the effect of our accounting policies, and other risks as detailed in the section entitled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and Board of Directors (Board) or disadvantageous to our stockholders.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Accordingly,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late clinical-stage biopharmaceutical company aiming to transform the treatment landscape for individuals living with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We are advancing therapeutics with the potential to be faster-acting and with fewer side effects and safety concerns than those currently available. Our pipeline includes six clinical-stage product candidates, including five investigational agents belonging to a new class of drugs known as pherines, in addition to AV-101, an oral prodrug of an antagonist of the glycine site of the N-methyl-D-aspartate receptor (</w:t>
      </w:r>
      <w:r>
        <w:rPr>
          <w:rFonts w:ascii="Arial" w:cs="Arial" w:eastAsia="Arial" w:hAnsi="Arial"/>
          <w:sz w:val="16"/>
          <w:szCs w:val="16"/>
          <w:i w:val="1"/>
          <w:iCs w:val="1"/>
          <w:color w:val="auto"/>
        </w:rPr>
        <w:t>NMDAR</w:t>
      </w:r>
      <w:r>
        <w:rPr>
          <w:rFonts w:ascii="Arial" w:cs="Arial" w:eastAsia="Arial" w:hAnsi="Arial"/>
          <w:sz w:val="16"/>
          <w:szCs w:val="16"/>
          <w:color w:val="auto"/>
        </w:rPr>
        <w:t>). Pherines are neuroactive nasal sprays with an innovative rapid-onset mechanism of action (</w:t>
      </w:r>
      <w:r>
        <w:rPr>
          <w:rFonts w:ascii="Arial" w:cs="Arial" w:eastAsia="Arial" w:hAnsi="Arial"/>
          <w:sz w:val="16"/>
          <w:szCs w:val="16"/>
          <w:i w:val="1"/>
          <w:iCs w:val="1"/>
          <w:color w:val="auto"/>
        </w:rPr>
        <w:t>MOA</w:t>
      </w:r>
      <w:r>
        <w:rPr>
          <w:rFonts w:ascii="Arial" w:cs="Arial" w:eastAsia="Arial" w:hAnsi="Arial"/>
          <w:sz w:val="16"/>
          <w:szCs w:val="16"/>
          <w:color w:val="auto"/>
        </w:rPr>
        <w:t>). They activate chemosensory neurons in the nasal cavity which selectively modulate key neural circuits in the brain without requiring systemic absorption or direct activity on neurons in the brain. AV-101 inhibits the activity of the ion channel of the NMDAR but does not block it, unlike approved NMDAR antagonists having significant side effects.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goal is to develop and commercialize, on our own or with strategic partners, a broad range of innovative therapies for neuropsychiatric, neurological and neuroendocrine disorders where current treatment options are inadequate to meet the needs of millions of patients in the U.S. and worldwide.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Pherine Product Candidates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Five of our product candidates – fasedienol (PH94B), itruvone (PH10), PH15, PH80 and PH284 – belong to a new class of drug candidates referred to as pherines. Pherines are odorless and tasteless neuroactive nasal sprays administered in low microgram level doses to selectively engage chemosensory neurons in the nasal cavity and induce fast-acting pharmacologic and behavioral benefits without requiring systemic absorption or direct activity on neurons in the brain. Specifically, each of our pherine product candidates is a distinct chemical entity that directly modulates particular areas of the brain, such as the limbic amygdala (the main fear and anxiety center of the brain), the hypothalamus (the thermoregulatory and appetite control areas of the brain), the hippocampus, the locus ceruleus, and the prefrontal cortex. We believe each of our pherine product candidates has the potential to be a fast-acting therapy for one or more CNS disorders, including social anxiety disorder (fasedienol), major depressive disorder (itruvone), cognitive impairment caused by mental fatigue (PH15), vasomotor syndrome (hot flashes) due to menopause, premenstrual dysphoric disorder and migraine headaches (PH80) and wasting syndrome and appetite stimulation (cachexia) (PH284), all without requiring apparent systemic absorption, binding to classic abuse liability receptors or other neurons in the brain or steroidal hormone receptors.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Fasedienol Nasal Spray for Social Anxiety Disorder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Fasedienol (PH94B) is a synthetic investigational pherine nasal spray from the androstane family in Phase 3 clinical development for the treatment of adults with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When administered intranasally in microgram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absorption or direct activity on neurons in the brain to achieve its rapid-onset and short duration of anxiolytic effects. We believe fasedienol has the potential to achieve these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the development of fasedienol as a potential treatment for SAD.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19"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PALISADE Phase 3 Program</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PALISADE-1. </w:t>
      </w:r>
      <w:r>
        <w:rPr>
          <w:rFonts w:ascii="Arial" w:cs="Arial" w:eastAsia="Arial" w:hAnsi="Arial"/>
          <w:sz w:val="16"/>
          <w:szCs w:val="16"/>
          <w:color w:val="auto"/>
        </w:rPr>
        <w:t>In May 2021, during the acute phase of the COVID-19 pandemic, we initiated PALISADE-1, a U.S. multi-center, randomized, double-blind,</w:t>
      </w:r>
      <w:r>
        <w:rPr>
          <w:rFonts w:ascii="Arial" w:cs="Arial" w:eastAsia="Arial" w:hAnsi="Arial"/>
          <w:sz w:val="16"/>
          <w:szCs w:val="16"/>
          <w:i w:val="1"/>
          <w:iCs w:val="1"/>
          <w:color w:val="auto"/>
        </w:rPr>
        <w:t xml:space="preserve"> </w:t>
      </w:r>
      <w:r>
        <w:rPr>
          <w:rFonts w:ascii="Arial" w:cs="Arial" w:eastAsia="Arial" w:hAnsi="Arial"/>
          <w:sz w:val="16"/>
          <w:szCs w:val="16"/>
          <w:color w:val="auto"/>
        </w:rPr>
        <w:t>placebo-controlled, Phase 3 clinical study designed to evaluate the efficacy, safety, and tolerability of the acute administration of fasedienol to relieve anxiety symptoms in adult patients with SAD during a simulated anxiety-provoking public speaking challenge, as measured using the patient-reported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Enrolled patients had a diagnosis of SAD and demonstrated marked social anxiety at enrollment, as evidenced by a baseline score on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of at least 70. We announced top line results from PALISADE-1 in July 2022. Although the safety and tolerability of fasedienol during PALISADE-1 was favorable and consistent with results from previously reported clinical trials, PALISADE-1 did not achieve its primary efficacy endpoint, as measured by change from baseline using the SUDS as compared to placebo. We believe the unexpected outcome in PALISADE-1, which was inconsistent with positive placebo-controlled Phase 2 studies, may have been due to the extraordinary multifaceted impact of the acute phase of the COVID-19 pandemic, which introduced into the typical study dynamic significant and unprecedented logistical challenges and systemic variability from changing social dynamics, heightened subject stress and expectation bias, study site and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personnel turnover and unpredictable intermittent clinic closures between subject visits, government face mask regulations, and reduced potential to respond to fasedienol due to impaired olfactory cell function from the COVID-19 virus, nasal swab testing, and/or heavy cannabis use, smoking or vaping.</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PALISADE Open Label Study. </w:t>
      </w:r>
      <w:r>
        <w:rPr>
          <w:rFonts w:ascii="Arial" w:cs="Arial" w:eastAsia="Arial" w:hAnsi="Arial"/>
          <w:sz w:val="18"/>
          <w:szCs w:val="18"/>
          <w:color w:val="auto"/>
        </w:rPr>
        <w:t>The PALISADE Open Label Study (</w:t>
      </w:r>
      <w:r>
        <w:rPr>
          <w:rFonts w:ascii="Arial" w:cs="Arial" w:eastAsia="Arial" w:hAnsi="Arial"/>
          <w:sz w:val="18"/>
          <w:szCs w:val="18"/>
          <w:i w:val="1"/>
          <w:iCs w:val="1"/>
          <w:color w:val="auto"/>
        </w:rPr>
        <w:t>OLS</w:t>
      </w:r>
      <w:r>
        <w:rPr>
          <w:rFonts w:ascii="Arial" w:cs="Arial" w:eastAsia="Arial" w:hAnsi="Arial"/>
          <w:sz w:val="18"/>
          <w:szCs w:val="18"/>
          <w:color w:val="auto"/>
        </w:rPr>
        <w:t>) was a large Phase 3, open-label safety trial conducted in a real world setting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evaluate the long-term safety and tolerability of multiple, patient-tailored, of fasedienol in adults with SAD when they experienced social and performance stressors in their daily lives. Long-term administration of 3.2 µg of fasedienol, as-needed, up to four times per day, was generally safe and well-tolerated, with no new safety findings or trends identified, regardless of the number of doses administered by each subject (safety population: n=481). Headache was the most common treatment-emergent adverse event (</w:t>
      </w:r>
      <w:r>
        <w:rPr>
          <w:rFonts w:ascii="Arial" w:cs="Arial" w:eastAsia="Arial" w:hAnsi="Arial"/>
          <w:sz w:val="18"/>
          <w:szCs w:val="18"/>
          <w:i w:val="1"/>
          <w:iCs w:val="1"/>
          <w:color w:val="auto"/>
        </w:rPr>
        <w:t>TEAE</w:t>
      </w:r>
      <w:r>
        <w:rPr>
          <w:rFonts w:ascii="Arial" w:cs="Arial" w:eastAsia="Arial" w:hAnsi="Arial"/>
          <w:sz w:val="18"/>
          <w:szCs w:val="18"/>
          <w:color w:val="auto"/>
        </w:rPr>
        <w:t>) (17.0%); no other TEAE occurred in more than 5.0% of subjects, except for COVID-19 TEAEs (11.4%), which were not considered related to fasedienol. Over 30,000 doses of fasedienol were administered by patients during this study.</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PALISADE OLS also evaluated the change from baseline in monthly standard clinical measurements and behavioral assessment scales (the LSAS, Clinician Global Impression of Improvement scale (</w:t>
      </w:r>
      <w:r>
        <w:rPr>
          <w:rFonts w:ascii="Arial" w:cs="Arial" w:eastAsia="Arial" w:hAnsi="Arial"/>
          <w:sz w:val="18"/>
          <w:szCs w:val="18"/>
          <w:i w:val="1"/>
          <w:iCs w:val="1"/>
          <w:color w:val="auto"/>
        </w:rPr>
        <w:t>CGI-I</w:t>
      </w:r>
      <w:r>
        <w:rPr>
          <w:rFonts w:ascii="Arial" w:cs="Arial" w:eastAsia="Arial" w:hAnsi="Arial"/>
          <w:sz w:val="18"/>
          <w:szCs w:val="18"/>
          <w:color w:val="auto"/>
        </w:rPr>
        <w:t>) and Patient Global Impression of Change scale (</w:t>
      </w:r>
      <w:r>
        <w:rPr>
          <w:rFonts w:ascii="Arial" w:cs="Arial" w:eastAsia="Arial" w:hAnsi="Arial"/>
          <w:sz w:val="18"/>
          <w:szCs w:val="18"/>
          <w:i w:val="1"/>
          <w:iCs w:val="1"/>
          <w:color w:val="auto"/>
        </w:rPr>
        <w:t>PGI-C</w:t>
      </w:r>
      <w:r>
        <w:rPr>
          <w:rFonts w:ascii="Arial" w:cs="Arial" w:eastAsia="Arial" w:hAnsi="Arial"/>
          <w:sz w:val="18"/>
          <w:szCs w:val="18"/>
          <w:color w:val="auto"/>
        </w:rPr>
        <w:t>)) after the administration of fasedienol. The key exploratory endpoint in the study included evaluation of the change from baseline on the LSAS, which measures SAD patients’ response to anxiety-provoking social and performance situations experienced in their daily lives. The LSAS was the primary efficacy endpoint in all registration studies for the three FDA-approved treatments for adults with SAD.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Analysis of the final data set from the PALISADE OLS demonstrates clinically meaningful functional improvement, as measured by the LSAS. In addition, total LSAS scores in both men and women continued to decline in consecutive months during the study. We believe the continued improvement in LSAS scores is indicative of the therapeutic potential of multiple, patient-tailored, as-needed administrations over time as fasedienol helps patients build confidence to engage in anxiety-provoking social and performance situations more frequently and with less fear and anxiety.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PALISADE-2. </w:t>
      </w:r>
      <w:r>
        <w:rPr>
          <w:rFonts w:ascii="Arial" w:cs="Arial" w:eastAsia="Arial" w:hAnsi="Arial"/>
          <w:sz w:val="16"/>
          <w:szCs w:val="16"/>
          <w:color w:val="auto"/>
        </w:rPr>
        <w:t>In October 2021, near the end of the acute phase of the COVID-19 pandemic, we initiated our Phase 3 PALISADE-2 trial, a replicate study</w:t>
      </w:r>
      <w:r>
        <w:rPr>
          <w:rFonts w:ascii="Arial" w:cs="Arial" w:eastAsia="Arial" w:hAnsi="Arial"/>
          <w:sz w:val="16"/>
          <w:szCs w:val="16"/>
          <w:i w:val="1"/>
          <w:iCs w:val="1"/>
          <w:color w:val="auto"/>
        </w:rPr>
        <w:t xml:space="preserve"> </w:t>
      </w:r>
      <w:r>
        <w:rPr>
          <w:rFonts w:ascii="Arial" w:cs="Arial" w:eastAsia="Arial" w:hAnsi="Arial"/>
          <w:sz w:val="16"/>
          <w:szCs w:val="16"/>
          <w:color w:val="auto"/>
        </w:rPr>
        <w:t>of PALISADE-1. As in PALISADE-1, enrolled patients in PALISADE-2 had a diagnosis of SAD and demonstrated marked social anxiety at enrollment, as evidenced by a baseline score on the LSAS of at least 70. After receiving top-line results from PALISADE-1 in July 2022, we paused ongoing recruitment and enrollment in PALISADE-2 to enable independent third-party biostatisticians to conduct an interim analysis of available data from the 141 subjects who were randomized and had completed the study up to the date it was paused. In September 2022, the independent third-party biostatisticians who conducted the interim analysis recommended that we continue PALISADE-2 as originally planned, without revealing to us any of the underlying data they had reviewed. However, for business reasons, we elected to extend our pause of PALISADE-2 pending our assessment of the then impending top-line results of the PALISADE OLS, the results of two SAD public speaking challenge studies conducted by peer companies, further discussions with the FDA regarding the continuing acceptability of the LSAS as a primary efficacy endpoint in Phase 3 studies for the treatment of SAD, as well as a comprehensive assessment of the expense, time, statistical and regulatory implications and logistical challenges associated with resuming PALISADE-2. Following positive results from our PALISADE OLS, the results of two SAD public speaking challenge studies conducted by peer companies, each of which did not meet its primary efficacy endpoint as measured by the SUDS, and positive discussions with the FDA in early 2023 regarding the continuing validity and reliability of the LSAS as a primary efficacy endpoint, for strategic reasons, we chose to close PALISADE-2 with 141 completed subjects rather than resume the study and randomize an additional 67 subjects, for a total of 208 subjects as originally planned.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early August 2023, we received and reported positive topline results from the 141 subjects who completed PALISADE-2. The PALISADE-2 trial met its primary efficacy endpoint, the difference in mean SUDS scores during the public speaking challenge at baseline (Visit 2) and treatment (Visit 3) for subjects treated with fasedienol versus placebo at Visit 3. Fasedienol-treated patients demonstrated a statistically significant greater mean change from baseline (least-squares (</w:t>
      </w:r>
      <w:r>
        <w:rPr>
          <w:rFonts w:ascii="Arial" w:cs="Arial" w:eastAsia="Arial" w:hAnsi="Arial"/>
          <w:sz w:val="17"/>
          <w:szCs w:val="17"/>
          <w:i w:val="1"/>
          <w:iCs w:val="1"/>
          <w:color w:val="auto"/>
        </w:rPr>
        <w:t>LS</w:t>
      </w:r>
      <w:r>
        <w:rPr>
          <w:rFonts w:ascii="Arial" w:cs="Arial" w:eastAsia="Arial" w:hAnsi="Arial"/>
          <w:sz w:val="17"/>
          <w:szCs w:val="17"/>
          <w:color w:val="auto"/>
        </w:rPr>
        <w:t>) mean = -13.8) compared to placebo (LS mean = -8.0), for a difference between groups of -5.8 (p=0.015). The trial also met its secondary endpoint, demonstrating a statistically significant difference in the proportion of clinician-assessed responders between fasedienol and placebo as measured by the CGI-I. Responders were identified as those who were rated ‘very much less anxious’ or ‘much less anxious’ and 37.7% of fasedienol-treated patients were rated as responders, as compared to 21.4% of those treated with placebo (p=0.033). The trial also met the important exploratory endpoint of the difference in the proportion of patient-assessed responders between fasedienol and placebo as measured by the PGI-C. Responders were identified as those who self-rated ‘very much less anxious’ or ‘much less anxious’ and 40.6% of fasedienol-treated patients were rated as responders, as compared to 18.6% of those treated with placebo (p=0.003). In addition, the PALISADE-2 trial also met the exploratory endpoint of the difference in the proportion of patients in each treatment group with a 20-point improvement in patient-assessed SUDS score from baseline (Visit 2) to treatment (Visit 3). Of the fasedienol-treated patients, 35.7% (n=70) demonstrated this statistically significant and clinically meaningful improvement in SUDS score, as compared to 18.6% (n=71) in the placebo-treated group (p=0.020). Fasedienol was observed to be well-tolerated with no serious adverse events, and the adverse event (</w:t>
      </w:r>
      <w:r>
        <w:rPr>
          <w:rFonts w:ascii="Arial" w:cs="Arial" w:eastAsia="Arial" w:hAnsi="Arial"/>
          <w:sz w:val="17"/>
          <w:szCs w:val="17"/>
          <w:i w:val="1"/>
          <w:iCs w:val="1"/>
          <w:color w:val="auto"/>
        </w:rPr>
        <w:t>AE</w:t>
      </w:r>
      <w:r>
        <w:rPr>
          <w:rFonts w:ascii="Arial" w:cs="Arial" w:eastAsia="Arial" w:hAnsi="Arial"/>
          <w:sz w:val="17"/>
          <w:szCs w:val="17"/>
          <w:color w:val="auto"/>
        </w:rPr>
        <w:t>) profiles were comparable between fasedienol and placebo. Overall, no TEAEs, except for pyrexia in the placebo group (2.49%), was more prevalent than 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i w:val="1"/>
          <w:iCs w:val="1"/>
          <w:color w:val="auto"/>
        </w:rPr>
        <w:t xml:space="preserve">PALISADE-3. </w:t>
      </w:r>
      <w:r>
        <w:rPr>
          <w:rFonts w:ascii="Arial" w:cs="Arial" w:eastAsia="Arial" w:hAnsi="Arial"/>
          <w:sz w:val="18"/>
          <w:szCs w:val="18"/>
          <w:color w:val="auto"/>
        </w:rPr>
        <w:t>Based on the positive top-line results of the Phase 3 PALISADE-2 study, we are currently preparing for our Phase 3 PALISADE-3 trial, with</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to initiate the trial during the first half of calendar 2024. Like PALISADE-2, PALISADE-3 will be designed as a U.S. multi-center, randomized, double-blind, placebo-controlled, Phase 3 clinical study to evaluate the efficacy, safety, and tolerability of the acute administration of fasedienol to relieve anxiety symptoms in adult patients with SAD during a simulated, anxiety-provoking public speaking challenge, as measured using the patient-reported SUDS as the primary efficacy endpoint.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FEARLESS Phase 3 Program</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first quarter of calendar 2023, we met with the FDA to discuss the next steps in our potential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)-enabling Phase 3 clinical development plan for fasedienol for the treatment of adults with SAD. Positive feedback from the FDA at this meeting confirmed the acceptable use of the LSAS as a primary efficacy endpoint, in a manner similar to its use in the registration studies for the three drugs currently approved for the treatment of SAD, paroxetine, sertraline and venlafaxine. To complement our PALISADE Phase 3 program for fasedienol in SAD, we are currently preparing for FEARLESS, with potential to initiate the trial in the second half of calendar 2024 with a study design similar to the registration studies for the three drugs currently approved for the treatment of SAD, with the LSAS as the primary efficacy endpoint. Accordingly, FEARLESS will be designed as a randomized, double-blind, placebo-controlled Phase 3 study of fasedienol in adults with SAD to evaluate the efficacy, safety and tolerability of multiple administrations of fasedienol, on a patient-tailored as-needed basis, up to six times per day in their daily lives, in a real-world setting over a multiple week period. To complement the positive results of PALISDAE-2, we believe the Phase 3 FEARLESS study design also will align with the way SAD patients will use fasedienol in their daily lives, should it be approved, because our planned fasedienol treatment model includes both repeated experiences of acute reduction of anxiety during performance and social events, evidenced by decreased SUDS scores as in PALISADE-2, as well as longer-term overall reduction in severity of SAD evidenced by reductions in LSAS scores, as will be assessed in FEARLESS.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each of PALISADE-3 and FEARLESS has the potential to complement PALISADE-2 as a potential NDA-enabling adequate and well-controlled Phase 3 clinical trial of fasedienol for the treatment of SAD.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Itruvone Nasal Spray for Major Depressive Disorder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Unlike all currently approved oral antidepressants (</w:t>
      </w:r>
      <w:r>
        <w:rPr>
          <w:rFonts w:ascii="Arial" w:cs="Arial" w:eastAsia="Arial" w:hAnsi="Arial"/>
          <w:sz w:val="17"/>
          <w:szCs w:val="17"/>
          <w:i w:val="1"/>
          <w:iCs w:val="1"/>
          <w:color w:val="auto"/>
        </w:rPr>
        <w:t>ADs</w:t>
      </w:r>
      <w:r>
        <w:rPr>
          <w:rFonts w:ascii="Arial" w:cs="Arial" w:eastAsia="Arial" w:hAnsi="Arial"/>
          <w:sz w:val="17"/>
          <w:szCs w:val="17"/>
          <w:color w:val="auto"/>
        </w:rPr>
        <w:t>) and rapid-onset ketamine-based therapy, we believe itruvone does not require systemic absorption or direct activity on neurons in the brain to produce antidepressant effects without the side effects and safety concerns that may be associated with current antidepressants therapies.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2023, we completed a small U.S. single-center, randomized, double-blinded, placebo-controlled Phase 1 study to investigate the safety and tolerability of itruvone in healthy adult subjects. The study was designed to confirm the favorable safety profile of itruvone established in three previous clinical studies conducted in Mexico and facilitate our plan for Phase 2B clinical development of itruvone in the U.S. as a fast-acting stand-alone treatment for MDD. Positive data from this study demonstrated that there were no reported treatment-related serious adverse events (</w:t>
      </w:r>
      <w:r>
        <w:rPr>
          <w:rFonts w:ascii="Arial" w:cs="Arial" w:eastAsia="Arial" w:hAnsi="Arial"/>
          <w:sz w:val="17"/>
          <w:szCs w:val="17"/>
          <w:i w:val="1"/>
          <w:iCs w:val="1"/>
          <w:color w:val="auto"/>
        </w:rPr>
        <w:t>SAEs</w:t>
      </w:r>
      <w:r>
        <w:rPr>
          <w:rFonts w:ascii="Arial" w:cs="Arial" w:eastAsia="Arial" w:hAnsi="Arial"/>
          <w:sz w:val="17"/>
          <w:szCs w:val="17"/>
          <w:color w:val="auto"/>
        </w:rPr>
        <w:t>) or discontinuations due to adverse events in the trial. Overall, itruvone was well-tolerated and continued to demonstrate a favorable safety profile.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the development of itruvone as a potential adjunctive treatment for MDD.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PH80 Nasal Spray for Women</w:t>
      </w:r>
      <w:r>
        <w:rPr>
          <w:rFonts w:ascii="Arial" w:cs="Arial" w:eastAsia="Arial" w:hAnsi="Arial"/>
          <w:sz w:val="18"/>
          <w:szCs w:val="18"/>
          <w:color w:val="auto"/>
        </w:rPr>
        <w:t>’</w:t>
      </w:r>
      <w:r>
        <w:rPr>
          <w:rFonts w:ascii="Arial" w:cs="Arial" w:eastAsia="Arial" w:hAnsi="Arial"/>
          <w:sz w:val="18"/>
          <w:szCs w:val="18"/>
          <w:b w:val="1"/>
          <w:bCs w:val="1"/>
          <w:i w:val="1"/>
          <w:iCs w:val="1"/>
          <w:color w:val="auto"/>
        </w:rPr>
        <w:t>s Health Disorders and Migraine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PH80 is an odorless, tasteless synthetic investigational pherine with a novel, rapid-onset potential MOA that is fundamentally differentiated from the MOA of all currently approved treatments for vasomotor symptoms (hot flashes) due to menopause and other women’s health disorders and migraine headaches. PH80 activates chemosensory neurons in the nasal cavity connected to neural circuits that modulate the basal forebrain associated with the control of body temperature. We recently reported positive results from a previously unpublished exploratory randomized, double-blind, placebo-controlled Phase 2A study of PH80 for the acute treatment of vasomotor symptoms (hot flashes) due to menopause. The Phase 2A study demonstrated a statistically significant reduction in the daily number of menopausal hot flashes compared to placebo at the end of the first week of treatment (p&lt;.001), and the improvement was maintained through each treatment week until the end of the four-week treatment period. We are preparing to submit a U.S. IND to facilitate Phase 2B clinical development of PH80 for the treatment of moderate to severe vasomotor symptoms (hot flashes) due to menopause.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PH80 initiates neural impulses in the olfactory bulb transmitted by pathways that affect the function of multiple structures in the brain, including the amygdala and hypothalamus, that have been linked to the pathology of migraine and other women’s health disorders such as premenstrual dysphoric disorder (</w:t>
      </w:r>
      <w:r>
        <w:rPr>
          <w:rFonts w:ascii="Arial" w:cs="Arial" w:eastAsia="Arial" w:hAnsi="Arial"/>
          <w:sz w:val="18"/>
          <w:szCs w:val="18"/>
          <w:i w:val="1"/>
          <w:iCs w:val="1"/>
          <w:color w:val="auto"/>
        </w:rPr>
        <w:t>PMDD</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PH15 Nasal Spray for Cognitive and Psychomotor Performance and Improvement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PH15 is an odorless, tasteless synthetic investigational pherine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path forward to submit a U.S. IND for further clinical development of PH15 in the U.S., on our own or with collaborators, including the appropriate indication for demonstrating improvement of cognitive function.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PH284 Nasal Spray for Cachexia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PH284 is an odorless, tasteless synthetic investigational pherine with a novel, rapid-onset potential MOA that is fundamentally differentiated from the MOA of all currently approved treatments for the loss of appetite associated with chronic disorders such as cancer.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path forward to submit a U.S. IND for further clinical development of PH15 for the treatment of cachexia, on our own or with collaborators, including the appropriate patient populations for demonstrating an increase in appetite and weight gain.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 for Neurological Disorders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(4-Cl-KYN) is a novel, oral prodrug that targets the NMDAR (N-methyl-D-aspartate receptor), an ionotropic glutamate receptor in the brain. Abnormal NMDAR function is associated with numerous CNS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Arial" w:cs="Arial" w:eastAsia="Arial" w:hAnsi="Arial"/>
          <w:sz w:val="16"/>
          <w:szCs w:val="16"/>
          <w:i w:val="1"/>
          <w:iCs w:val="1"/>
          <w:color w:val="auto"/>
        </w:rPr>
        <w:t>PK</w:t>
      </w:r>
      <w:r>
        <w:rPr>
          <w:rFonts w:ascii="Arial" w:cs="Arial" w:eastAsia="Arial" w:hAnsi="Arial"/>
          <w:sz w:val="16"/>
          <w:szCs w:val="16"/>
          <w:color w:val="auto"/>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serious adverse events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observations and findings from preclinical studies, we believe AV-101 has the potential to become a new oral treatment alternative for multiple CNS disorders, including levodopa-induced dyskinesia, neuropathic pain, seizures, MDD, and suicidal ideation. We are currently assessing a potential path forward for Phase 2A clinical development of AV-101, on our own or with collaborators, as a treatment for levodopa-induced dyskinesia associated with Parkinson’s disease therapy and possibly one or more additional neurological disorders involving the NMDAR receptor.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granted Fast Track designation for the development of AV-101 as a potential adjunctive treatment for MDD and as a non-opioid treatment for neuropathic pain.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subsidiaries consist of Pherin Pharmaceuticals, Inc, a Delaware corporation (</w:t>
      </w:r>
      <w:r>
        <w:rPr>
          <w:rFonts w:ascii="Arial" w:cs="Arial" w:eastAsia="Arial" w:hAnsi="Arial"/>
          <w:sz w:val="18"/>
          <w:szCs w:val="18"/>
          <w:i w:val="1"/>
          <w:iCs w:val="1"/>
          <w:color w:val="auto"/>
        </w:rPr>
        <w:t>Pherin</w:t>
      </w:r>
      <w:r>
        <w:rPr>
          <w:rFonts w:ascii="Arial" w:cs="Arial" w:eastAsia="Arial" w:hAnsi="Arial"/>
          <w:sz w:val="18"/>
          <w:szCs w:val="18"/>
          <w:color w:val="auto"/>
        </w:rPr>
        <w:t>), and Vistastem, Inc., a California corporation founded in 1998 (</w:t>
      </w:r>
      <w:r>
        <w:rPr>
          <w:rFonts w:ascii="Arial" w:cs="Arial" w:eastAsia="Arial" w:hAnsi="Arial"/>
          <w:sz w:val="18"/>
          <w:szCs w:val="18"/>
          <w:i w:val="1"/>
          <w:iCs w:val="1"/>
          <w:color w:val="auto"/>
        </w:rPr>
        <w:t>Vistastem</w:t>
      </w:r>
      <w:r>
        <w:rPr>
          <w:rFonts w:ascii="Arial" w:cs="Arial" w:eastAsia="Arial" w:hAnsi="Arial"/>
          <w:sz w:val="18"/>
          <w:szCs w:val="18"/>
          <w:color w:val="auto"/>
        </w:rPr>
        <w:t>). For the relevant periods,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which was dissolved in April 2022, and VistaStem Canada, Inc., a corporation organized under the laws of Ontario, Canada (</w:t>
      </w:r>
      <w:r>
        <w:rPr>
          <w:rFonts w:ascii="Arial" w:cs="Arial" w:eastAsia="Arial" w:hAnsi="Arial"/>
          <w:sz w:val="18"/>
          <w:szCs w:val="18"/>
          <w:i w:val="1"/>
          <w:iCs w:val="1"/>
          <w:color w:val="auto"/>
        </w:rPr>
        <w:t>VistaStem Canada</w:t>
      </w:r>
      <w:r>
        <w:rPr>
          <w:rFonts w:ascii="Arial" w:cs="Arial" w:eastAsia="Arial" w:hAnsi="Arial"/>
          <w:sz w:val="18"/>
          <w:szCs w:val="18"/>
          <w:color w:val="auto"/>
        </w:rPr>
        <w:t>), which was dissolved in June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2023 (</w:t>
      </w:r>
      <w:r>
        <w:rPr>
          <w:rFonts w:ascii="Arial" w:cs="Arial" w:eastAsia="Arial" w:hAnsi="Arial"/>
          <w:sz w:val="18"/>
          <w:szCs w:val="18"/>
          <w:i w:val="1"/>
          <w:iCs w:val="1"/>
          <w:color w:val="auto"/>
        </w:rPr>
        <w:t>Form 10-K</w:t>
      </w:r>
      <w:r>
        <w:rPr>
          <w:rFonts w:ascii="Arial" w:cs="Arial" w:eastAsia="Arial" w:hAnsi="Arial"/>
          <w:sz w:val="18"/>
          <w:szCs w:val="18"/>
          <w:color w:val="auto"/>
        </w:rPr>
        <w:t>), as filed with the SEC on June 28, 2023, and in Note 3 to the accompanying unaudited Condensed Consolidated Financial Statements included in Part 1, Item 1 of this Report (</w:t>
      </w:r>
      <w:r>
        <w:rPr>
          <w:rFonts w:ascii="Arial" w:cs="Arial" w:eastAsia="Arial" w:hAnsi="Arial"/>
          <w:sz w:val="18"/>
          <w:szCs w:val="18"/>
          <w:i w:val="1"/>
          <w:iCs w:val="1"/>
          <w:color w:val="auto"/>
        </w:rPr>
        <w:t>Financial Statements</w:t>
      </w:r>
      <w:r>
        <w:rPr>
          <w:rFonts w:ascii="Arial" w:cs="Arial" w:eastAsia="Arial" w:hAnsi="Arial"/>
          <w:sz w:val="18"/>
          <w:szCs w:val="18"/>
          <w:color w:val="auto"/>
        </w:rPr>
        <w:t>). There have been no changes in significant accounting estimates during the three months ended June 30, 2023 since those disclosed in our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not yet achieved recurring revenue-generating status from any of our product candidates or technologies in amounts sufficient to sustain our operations and enable our strategic business plans. We have devoted substantial resources to advance initiatives related to research, development, and contract manufacturing of our intranasal investigational product candidates, fasedienol and itruvone, including initiatives related to manufacturing processes, analytical methods and production programs for drug substance and finished drug product, as well as for preclinical studies and clinical studies focused on potential commercialization of these product candidates for neuropsychiatry indications. Throughout Fiscal 2022 and Fiscal 2023, we allocated significant resources to our PALISADE Phase 3 Program evaluating fasedienol for the acute treatment of anxiety in adults with SAD. In the first quarter of our fiscal year ending March 31, 2024, (</w:t>
      </w:r>
      <w:r>
        <w:rPr>
          <w:rFonts w:ascii="Arial" w:cs="Arial" w:eastAsia="Arial" w:hAnsi="Arial"/>
          <w:sz w:val="17"/>
          <w:szCs w:val="17"/>
          <w:i w:val="1"/>
          <w:iCs w:val="1"/>
          <w:color w:val="auto"/>
        </w:rPr>
        <w:t>Fiscal 2024</w:t>
      </w:r>
      <w:r>
        <w:rPr>
          <w:rFonts w:ascii="Arial" w:cs="Arial" w:eastAsia="Arial" w:hAnsi="Arial"/>
          <w:sz w:val="17"/>
          <w:szCs w:val="17"/>
          <w:color w:val="auto"/>
        </w:rPr>
        <w:t>) we have continued to focus our efforts on fasedienol and preparing to launch our FEARLESS program. We conducted, and are continuing to conduct, various preclinical studies and manufacturing activities that enabled submission of our U.S. IND for itruvone in MDD in late September 2022 and our initiation of a small Phase 1 clinical study of itruvone in December 2022 to facilitate its potential Phase 2B clinical development in the U.S. as a stand-alone treatment for MDD. With respect to AV-101, we are evaluating AV-101 in combination with probenecid, which may provide opportunities to explore the therapeutic potential of the combination for certain CNS indications involving the NMDAR. We have on-going initiatives for creating, protecting and patenting intellectual property (</w:t>
      </w:r>
      <w:r>
        <w:rPr>
          <w:rFonts w:ascii="Arial" w:cs="Arial" w:eastAsia="Arial" w:hAnsi="Arial"/>
          <w:sz w:val="17"/>
          <w:szCs w:val="17"/>
          <w:i w:val="1"/>
          <w:iCs w:val="1"/>
          <w:color w:val="auto"/>
        </w:rPr>
        <w:t>IP</w:t>
      </w:r>
      <w:r>
        <w:rPr>
          <w:rFonts w:ascii="Arial" w:cs="Arial" w:eastAsia="Arial" w:hAnsi="Arial"/>
          <w:sz w:val="17"/>
          <w:szCs w:val="17"/>
          <w:color w:val="auto"/>
        </w:rPr>
        <w:t>) related to our product candidates and technologies and raising sufficient working capital to fund these studies, initiatives and other activities. At June 30, 2023, we had an accumulated deficit of approximately $333.8 million. Our net loss for Fiscal 2023 and Fiscal 2022 was approximately $59.2 million and $47.8 million, respectively, and we incurred a net loss of approximately $6.9 million in the first quarter of Fiscal 2024. We expect losses to continue for the foreseeable future as we engage in further research, development and regulatory activities related to fasedienol, itruvone and AV-101 and, potentially, the new pherines acquired as a result of our acquisition of Pherin in February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Quarter Ended June 30, 2023</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June 30, 2023, we worked to advance our FEARLESS Phase 3 Program to develop and commercialize fasedienol as a new treatment of anxiety in adults with SAD following the positive feedback received from the FDA on the use of the LSAS as the primary endpoint for our FEARLESS program. In addition, we completed our Phase 1B study of itruvone in MDD and began work required to launch our Phase 2B clinical development of itruvone as a potential stand-alone treatment for MDD. We also initiated IND-enabling nonclinical activities to facilitate Phase 2B development of PH80 for the treatment of vasomotor symptoms (hot flashes) due to menopause and conducted various nonclinical studies involving each of our product candidates. Each of these activities was completed as we carefully monitored our cash resources and evaluated our internal and external research and development expenditures.</w:t>
      </w:r>
    </w:p>
    <w:p>
      <w:pPr>
        <w:spacing w:after="0" w:line="195"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 xml:space="preserve">We did not complete any capital-raising or other significant financing activities during Fiscal 2023. In May 2021, we entered into an Open Market Sale Agreement </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Jefferies LLC, as sales agent (</w:t>
      </w:r>
      <w:r>
        <w:rPr>
          <w:rFonts w:ascii="Arial" w:cs="Arial" w:eastAsia="Arial" w:hAnsi="Arial"/>
          <w:sz w:val="17"/>
          <w:szCs w:val="17"/>
          <w:i w:val="1"/>
          <w:iCs w:val="1"/>
          <w:color w:val="auto"/>
        </w:rPr>
        <w:t>Jefferies</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under which we may, in our sole discretion, offer and sell, from time to time, shares of our common stock having an aggregate offering price of up to $75.0 million through Jefferies. During June 2023, we sold an aggregate of 561,418 shares of our common stock and received net cash proceeds of $1,117,300 under the ATM. Since June 30, 2023 and through the date of the issuance of this report, we have sold an aggregate of 1,487,293 additional shares of our common stock under the Sales Agreement and received gross cash proceeds of $16,893,700.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2023 and 2022 (amounts in thousands).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6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62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15,291</w:t>
            </w: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4,792</w:t>
            </w:r>
          </w:p>
        </w:tc>
      </w:tr>
      <w:tr>
        <w:trPr>
          <w:trHeight w:val="210"/>
        </w:trPr>
        <w:tc>
          <w:tcPr>
            <w:tcW w:w="622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(6,997)</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(19,773)</w:t>
            </w:r>
          </w:p>
        </w:tc>
      </w:tr>
      <w:tr>
        <w:trPr>
          <w:trHeight w:val="216"/>
        </w:trPr>
        <w:tc>
          <w:tcPr>
            <w:tcW w:w="62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(6,900)</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(19,771)</w:t>
            </w:r>
          </w:p>
        </w:tc>
      </w:tr>
      <w:tr>
        <w:trPr>
          <w:trHeight w:val="216"/>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622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81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(6,903)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(19,776)</w:t>
            </w:r>
          </w:p>
        </w:tc>
      </w:tr>
      <w:tr>
        <w:trPr>
          <w:trHeight w:val="20"/>
        </w:trPr>
        <w:tc>
          <w:tcPr>
            <w:tcW w:w="6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We recognized $177,600 in sublicense revenue pursuant to the AffaMed Agreement during the quarter ended June 30, 2023, compared to $310,100 during the quarter ended June 30, 2022. As described more completely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Note 3</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Sublicensing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Collaboration Agreements </w:t>
      </w:r>
      <w:r>
        <w:rPr>
          <w:rFonts w:ascii="Arial" w:cs="Arial" w:eastAsia="Arial" w:hAnsi="Arial"/>
          <w:sz w:val="16"/>
          <w:szCs w:val="16"/>
          <w:color w:val="auto"/>
        </w:rPr>
        <w:t>(</w:t>
      </w:r>
      <w:r>
        <w:rPr>
          <w:rFonts w:ascii="Arial" w:cs="Arial" w:eastAsia="Arial" w:hAnsi="Arial"/>
          <w:sz w:val="16"/>
          <w:szCs w:val="16"/>
          <w:i w:val="1"/>
          <w:iCs w:val="1"/>
          <w:color w:val="auto"/>
        </w:rPr>
        <w:t>Note 11</w:t>
      </w:r>
      <w:r>
        <w:rPr>
          <w:rFonts w:ascii="Arial" w:cs="Arial" w:eastAsia="Arial" w:hAnsi="Arial"/>
          <w:sz w:val="16"/>
          <w:szCs w:val="16"/>
          <w:color w:val="auto"/>
        </w:rPr>
        <w:t>), to our Condensed Consolidated Financial Statements in Part I of this Report (</w:t>
      </w:r>
      <w:r>
        <w:rPr>
          <w:rFonts w:ascii="Arial" w:cs="Arial" w:eastAsia="Arial" w:hAnsi="Arial"/>
          <w:sz w:val="16"/>
          <w:szCs w:val="16"/>
          <w:i w:val="1"/>
          <w:iCs w:val="1"/>
          <w:color w:val="auto"/>
        </w:rPr>
        <w:t>Financial Statements</w:t>
      </w:r>
      <w:r>
        <w:rPr>
          <w:rFonts w:ascii="Arial" w:cs="Arial" w:eastAsia="Arial" w:hAnsi="Arial"/>
          <w:sz w:val="16"/>
          <w:szCs w:val="16"/>
          <w:color w:val="auto"/>
        </w:rPr>
        <w:t>), on June 24,</w:t>
      </w:r>
      <w:r>
        <w:rPr>
          <w:rFonts w:ascii="Arial" w:cs="Arial" w:eastAsia="Arial" w:hAnsi="Arial"/>
          <w:sz w:val="16"/>
          <w:szCs w:val="16"/>
          <w:i w:val="1"/>
          <w:iCs w:val="1"/>
          <w:color w:val="auto"/>
        </w:rPr>
        <w:t xml:space="preserve"> </w:t>
      </w:r>
      <w:r>
        <w:rPr>
          <w:rFonts w:ascii="Arial" w:cs="Arial" w:eastAsia="Arial" w:hAnsi="Arial"/>
          <w:sz w:val="16"/>
          <w:szCs w:val="16"/>
          <w:color w:val="auto"/>
        </w:rPr>
        <w:t>2020, we entered into the AffaMed Agreement, pursuant to which we received a non-refundable upfront license fee payment of $5.0 million on August 3, 2020. This payment permitted the commencement of our revenue recognition under the AffaMed Agreement. We recognize revenue on a straight-line basis over the period during which we expect to perform our obligation under the AffaMed Agreement. Revenue related to our performance obligation, which is satisfied over time, could be materially impacted as a result of changes in our estimates of the time or effort necessary to satisfy the performance obligation. Due to the failure of PALISADE-1 to meet its primary efficacy endpoints and the resulting anticipated delays in subsequent clinical and regulatory processes for fasedienol in SAD, at September 30, 2022, we estimated that completion of our performance obligation under the AffaMed Agreement would be delayed until mid-calendar 2027. As described in Note 3 to the Financial Statements, as a result of the change in our estimate of the time required to complete our performance obligation under the AffaMed Agreement, we recorded a cumulative catch-up adjustment at September 30, 2022 pursuant to which we derecognized previously recorded revenue, and extended the future period over which we would recognize the remaining deferred revenue. Following the cumulative catch-up adjustment, through June 30, 2023, we have recognized an aggregate of $2,148,700 as revenue under the AffaMed Agreement and expect to recognize the remaining $2,851,300 as revenue over the estimated remaining performance period as our obligation is completed. We have not modified our September 30, 2022 estimate of the timing to complete our performance obligation, however, we will adjust our estimates, as necessary, in subsequent periods should more definitive information on which to base our projections become available. 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w:t>
      </w:r>
      <w:r>
        <w:rPr>
          <w:rFonts w:ascii="Arial" w:cs="Arial" w:eastAsia="Arial" w:hAnsi="Arial"/>
          <w:sz w:val="16"/>
          <w:szCs w:val="16"/>
          <w:i w:val="1"/>
          <w:iCs w:val="1"/>
          <w:color w:val="auto"/>
        </w:rPr>
        <w:t>R&amp;D</w:t>
      </w:r>
      <w:r>
        <w:rPr>
          <w:rFonts w:ascii="Arial" w:cs="Arial" w:eastAsia="Arial" w:hAnsi="Arial"/>
          <w:sz w:val="16"/>
          <w:szCs w:val="16"/>
          <w:color w:val="auto"/>
        </w:rPr>
        <w:t>) expense substantially decreased by approximately $11.1 million, from $15.3 million for the quarter ended June 30, 2022 to $4.2 million for the quarter ended June 30, 2023. Expenses related to closing processes for our PALISADE Phase 3 Program for fasedienol, including PALISADE-1, PALISADE-2 and the PALISADE OLS study, and the fasedienol Phase 2 Study in AjDA, as well as nonclinical development, regulatory and outsourced manufacturing activities for both fasedienol and itruvone, decreased by approximately $10.6 million during the quarter ended June 30, 2023 compared to those for the quarter ended June 30, 2022. Noncash research and development expense, primarily stock-based compensation and depreciation in both periods, accounted for approximately $344,000 and $353,000 for the quarters ended June 30, 2023 and 2022, respectively. The following table indicates the primary components of research and development expense for each of the periods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72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1,652</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2"/>
              </w:rPr>
              <w:t>Clinical and nonclinical studies and development expenses:</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Fasedienol and Itruvone</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AV-101</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12,849</w:t>
            </w:r>
          </w:p>
        </w:tc>
        <w:tc>
          <w:tcPr>
            <w:tcW w:w="7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17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Depreciation</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1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r>
      <w:tr>
        <w:trPr>
          <w:trHeight w:val="256"/>
        </w:trPr>
        <w:tc>
          <w:tcPr>
            <w:tcW w:w="98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15,291</w:t>
            </w:r>
          </w:p>
        </w:tc>
        <w:tc>
          <w:tcPr>
            <w:tcW w:w="720" w:type="dxa"/>
            <w:vAlign w:val="bottom"/>
          </w:tcPr>
          <w:p>
            <w:pPr>
              <w:spacing w:after="0"/>
              <w:rPr>
                <w:sz w:val="22"/>
                <w:szCs w:val="22"/>
                <w:color w:val="auto"/>
              </w:rPr>
            </w:pPr>
          </w:p>
        </w:tc>
      </w:tr>
      <w:tr>
        <w:trPr>
          <w:trHeight w:val="413"/>
        </w:trPr>
        <w:tc>
          <w:tcPr>
            <w:tcW w:w="98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1370"/>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393"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The decrease in salaries and benefits expense for the quarter ended June 30, 2023 compared to the quarter ended June 30, 2022 primarily reflects voluntary termination by six management and staff positions following the results of the PALISADE-1 study. Additionally, in anticipation of positive results from the PALISADE-1 study, we recorded an accrual for estimated bonus payment in the quarter ending June 30, 2022 that was subsequently reversed later in Fiscal 2023. No such accrual was made in the quarter ended June 30, 2023. Offsetting these decreases is the impact of five staff positions added during the second through fourth quarters of Fiscal 2023 and the realignment of a senior management position to research and development following the PALISADE-1 results.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Stock-based compensation expense for the quarter ended June 30, 2023 reflects the amortization of option grants made to our R&amp;D staff and certain clinical and scientific consultants since August 2020, in addition to grants to new employees and forfeitures by terminated employees, as indicated above. All outstanding options granted to R&amp;D employees and consultants prior to August 2020 have become fully vested and amortized prior to the quarter ended June 30, 2023. Grants awarded after June 30, 2022, including those granted to new employees and a single grant to a former employee in the current quarter, account for approximately $25,000 of expense in the quarter ended June 30, 2023, offset by an expense reduction of approximately $67,000 compared to the quarter ended June 30, 2022 attributable to options that became fully vested and amortized prior to or during the quarter ended June 30, 2023, primarily those granted in December 2020. The impact of option forfeitures recognized in the first quarter of Fiscal 2023 resulted in an expense increase of approximately $22,000 in the first quarter of Fiscal 2024 compared to expense for the quarter ended June 30, 2022. 2019 ESPP expense for the quarter ended June 30, 2023 was $2,100 compared to $15,900 in the quarter ended June 30, 2022.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fasedienol and itruvone development initiatives. Services related to both clinical and nonclinical activities have been curtailed to the extent possible following the results of PALISADE-1.</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receipt of the topline results of the PALISADE-1 study in July 2022, we (i) initiated completion procedures for that study, (ii) paused, and ultimately terminated in early Fiscal 2024, the PALISADE-2 study, (iii) terminated the PALISADE OLS during the second quarter of Fiscal 2023, and (iv) ran the Phase 2A study of fasedienol in AjDA to its completion in the third quarter of Fiscal 2023. Each of these studies was actively enrolling subjects during the quarter ended June 30, 2022. Reduction or termination of these activities is the primary driver of the decrease in project expenses for the quarter ended June 30, 2023, compared to the quarter ended June 30, 2022. Despite reduction in clinical trial activity, during the quarters ended June 30, 2023 and 2022, manufacturing, formulation, process validation and stability analyses of sufficient quantities of drug substance and drug product for clinical trials and other developmental requirements were significant initiatives for advancing both fasedienol and itruvone. During the first quarter of Fiscal 2023, we prepared for and subsequently launched a small U.S. Phase 1 clinical trial of itruvone to facilitate its potential U.S. Phase 2B development for treatment of MDD. That trial was conducted during the fourth quarter of Fiscal 2023. Project costs related to itruvone were nominal during the quarters ended June 30, 2023 and 2022. In both periods, AV-101 project expense includes costs for certain preclinical studies related to the use of AV-101 with adjunctive probenecid and certain AV-101 manufacturing stability studies as well as the costs of our exploratory Phase 1B AV-101 and probenecid clinical trial, which has now been completed. We expect minimal costs in the near term for AV-101 projects.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6"/>
          <w:szCs w:val="16"/>
          <w:color w:val="auto"/>
        </w:rPr>
        <w:t>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i w:val="1"/>
          <w:iCs w:val="1"/>
          <w:color w:val="auto"/>
        </w:rPr>
        <w:t>G&amp;A</w:t>
      </w:r>
      <w:r>
        <w:rPr>
          <w:rFonts w:ascii="Arial" w:cs="Arial" w:eastAsia="Arial" w:hAnsi="Arial"/>
          <w:sz w:val="16"/>
          <w:szCs w:val="16"/>
          <w:color w:val="auto"/>
        </w:rPr>
        <w:t>) expense decreased by approximately $1.8 million for the quarter ended June 30, 2023 compared to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Primary components of the decrease compared to prior year include:</w:t>
      </w:r>
    </w:p>
    <w:p>
      <w:pPr>
        <w:spacing w:after="0" w:line="211"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pre-launch marketing studies and analyses of approximately $1.2 million as a result of the failure of the PALISADE-1 study to achieve its primary efficacy endpoint;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stock-based compensation of approximately $0.4 million primarily as a result of the completed vesting of certain prior year grants;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discretionary investor and public relations and corporate awareness initiatives of approximately $0.2 million.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Noncash general and administrative expense, approximately $282,000 and $673,000 in the quarters ended June 30, 2023 and 2022, respectively, primarily reflects stock-based compensation and depreciation in both periods. The following table indicates the primary components of general and administrative expense for each of the periods (amounts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18"/>
                <w:szCs w:val="18"/>
                <w:color w:val="auto"/>
              </w:rPr>
            </w:pP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00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1,092</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Board fees and other consulting services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Legal, accounting and other professional fees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Investor and public relations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Pre-launch marketing studies and analyses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1,301</w:t>
            </w: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Travel expenses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Sublicense contract amortized acquisition expense</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Rent and utilities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expenses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0"/>
        </w:trPr>
        <w:tc>
          <w:tcPr>
            <w:tcW w:w="57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1000" w:type="dxa"/>
            <w:vAlign w:val="bottom"/>
          </w:tcPr>
          <w:p>
            <w:pPr>
              <w:jc w:val="right"/>
              <w:ind w:right="8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1280" w:type="dxa"/>
            <w:vAlign w:val="bottom"/>
            <w:gridSpan w:val="2"/>
          </w:tcPr>
          <w:p>
            <w:pPr>
              <w:jc w:val="right"/>
              <w:ind w:right="94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4,792</w:t>
            </w:r>
          </w:p>
        </w:tc>
      </w:tr>
      <w:tr>
        <w:trPr>
          <w:trHeight w:val="20"/>
        </w:trPr>
        <w:tc>
          <w:tcPr>
            <w:tcW w:w="5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salaries and benefits expense for the quarter ended June 30, 2023 reflects the impact of the voluntary resignation of our Chief Commercial Officer in November 2022 and the re-alignment of a senior management position to research and development, both following the PALISADE-1 results, offset by the impact of hiring of our Chief Corporate Development Officer and General Counsel in May 2022 and our Vice President, Associate General Counsel in August 2022. Additionally, in anticipation of positive results from the PALISADE-1 study, we had recorded an accrual for estimated bonus payments in the quarter ending June 30, 2022 that was subsequently reversed later in Fiscal 2023. No such accrual was made in the quarter ended June 30, 2023.</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Stock-based compensation expense for the quarter ended June 30, 2023 reflects the amortization of option grants made to our administrative staff, non-employee members of our Board, and certain consultants since December 2020, in addition to grants to new employees, as indicated above. All outstanding options granted to G&amp;A employees and consultants prior to December 2020 have become fully vested and amortized prior to the quarter ended June 30, 2023. We made no grants to G&amp;A employees, Board members or consultants during the quarter ended June 30, 2023. Grants awarded after June 30, 2022, including those granted to new employees account for approximately $23,000 of expense in the quarter ended June 30, 2023, offset by an expense reduction of approximately $387,000 compared to the quarter ended June 30, 2022 attributable to options that became fully vested and amortized prior to or during the quarter ended June 30, 2023, primarily those granted to employees in December 2020, to new Board members in July 2021, and to Board members in March 2022. 2019 ESPP expense for the quarter ended June 30, 2023 was $1,500 compared to $4,900 in the quarter ended June 30,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Board fees and other consulting services represents, in both periods, fees paid as consideration for Board and Board Committee services to the independent members of our Board of Directors. Expenses for the quarter ended June 30, 2023 also include fees paid to our former Chief Commercial Officer pursuant to a consulting agreement following her voluntary resignation.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Legal, accounting and other professional fees for both periods include expenses (i) related to routine and project-based legal services as well as accounting services related to the audit of our annual financial statements, (ii) the cost of certain outsourced financial and accounting services and our information technology service provider, and (iii) legal counsel and other costs related to patent prosecution and protection pursuant to our stem cell technology license agreements, our AV-101 patents, or patents that we have elected to pursue for commercial purposes, recurring annual license fees, and costs we have incurred to advance various patent applications in the U.S. and numerous foreign countries, primarily with respect to AV-101 and our stem cell technology platform, but also with respect to our fasedienol and itruvone intellectual property portfolios.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Investor and public relations expense in both periods includes the fees of our various external service providers for a broad spectrum of investor relations, public relations and social media services, and, in the quarter ended June 30, 2022, additional corporate branding, market awareness and strategic advisory and support functions and initiatives. The latter activities were significantly curtailed following the results of the PALISADE-1 study. During both years,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quarter ended June 30, 2022, we incurred expenses for a number of pre-commercialization studies, analyses, projections, strategic modeling and awareness services, primarily attributable to fasedienol as a potential acute treatment of anxiety in adults with SAD. Given the results of PALISADE-1 and the resulting delay to our anticipated commercialization timeline for fasedienol, these activities were significantly reduced in the later quarters of Fiscal 2023 and in Fiscal 2024. We have evaluated the extent and timing of such future activities, and anticipate that such expenditures will, for the short term, remain at the modest level similar to that expended during the quarter ended June 30, 2023.</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expense reflects increased coverage levels obtained under our directors’ and officers’ liability insurance upon restructuring of our program in May 2022 and its renewal in May 2023 and additional coverages, including cybersecurity and employment practices liability, that have been included in our insurance program since late in Fiscal 2022.</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periodic shelter-in-place restrictions and travel and workplace precautions and restrictions associated with the COVID-19 pandemic during 2020 through 2022,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generally occurred remotely without requiring in-person business travel by our executives. We have resumed limited in-person meetings during calendar 2022 and 2023 and have accordingly incurred modest travel expenses for attendance at seminars, clinical trial site visits, certain investor-focused events and in-person corporate meetings, as conditions have permitted.</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Beginning in the quarter ended September 30, 2020, we began to amortize the deferred contract acquisition costs related to our acquisition of the AffaMed Agreement, composed of the cash payment of $220,000 for sublicense fees which we were obligated to make pursuant to our fasedienol license from Pherin, and the $125,000 cash payment and $125,000 fair value of common stock issued for consulting services, in each case exclusively related to our acquisition of the AffaMed Agreement. The contract acquisition costs are amortized over the expected term of our performance obligation to be provided under the AffaMed Agreement. As described above in the section entitled </w:t>
      </w:r>
      <w:r>
        <w:rPr>
          <w:rFonts w:ascii="Arial" w:cs="Arial" w:eastAsia="Arial" w:hAnsi="Arial"/>
          <w:sz w:val="17"/>
          <w:szCs w:val="17"/>
          <w:i w:val="1"/>
          <w:iCs w:val="1"/>
          <w:color w:val="auto"/>
        </w:rPr>
        <w:t>Revenue</w:t>
      </w:r>
      <w:r>
        <w:rPr>
          <w:rFonts w:ascii="Arial" w:cs="Arial" w:eastAsia="Arial" w:hAnsi="Arial"/>
          <w:sz w:val="17"/>
          <w:szCs w:val="17"/>
          <w:color w:val="auto"/>
        </w:rPr>
        <w:t>, the outcome of the PALISADE-1 study resulted in an estimated extension of the period over which we will recognize both revenue under the AffaMed Agreement and the period over which we will amortize the deferred contract acquisition costs. Our estimate of the extended time required to satisfy our performance obligation required a cumulative catch-up adjustment to amortization of the contract acquisition costs, which we recorded in the second quarter of Fiscal 2023, and extended the future period over which we would recognize the remaining contract acquisition costs. During the quarters ended June 30, 2023 and 2022, we amortized approximately $16,700 and $29,200 of contract acquisition costs,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Interest income, net totaled $97,200 for the quarter ended June 30, 2023, compared to $2,300 for the quarter ended June 30, 2022. The following table indicates the primary components of interest income and expense for each of the periods (amounts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29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tcBorders>
              <w:top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expense on financing lease and insurance premium financing note</w:t>
            </w:r>
          </w:p>
        </w:tc>
        <w:tc>
          <w:tcPr>
            <w:tcW w:w="10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8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For the quarters ended June 30, 2023 and 2022, interest income relates to cash deposits in interest-bearing cash equivalent accounts. The increase in interest income primarily reflects a combination of increases in interest rates that have occurred during calendar 2022 and 2023 and our change in banking relationships and investment securities beginning late in the fourth quarter of Fiscal 2023. Interest expense for both quarters presented relates to interest paid on the insurance premium financing notes executed in May 2022 and May 2023 and on our financing lease of office equipment subject to ASC 842.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Since our inception in May 1998 through June 30, 2023, we have financed our operations and technology acquisitions primarily through the issuance and sale of our equity and debt securities for cash proceeds of approximately $209.9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$41.3 million in noncash acquisitions of product licenses, the Pherin Acquisition, and in settlements of certain liabilities, including liabilities for professional services rendered to us or as compensation for such services.</w:t>
      </w:r>
    </w:p>
    <w:p>
      <w:pPr>
        <w:spacing w:after="0" w:line="192" w:lineRule="exact"/>
        <w:rPr>
          <w:sz w:val="20"/>
          <w:szCs w:val="20"/>
          <w:color w:val="auto"/>
        </w:rPr>
      </w:pPr>
    </w:p>
    <w:p>
      <w:pPr>
        <w:jc w:val="both"/>
        <w:ind w:right="80"/>
        <w:spacing w:after="0" w:line="242" w:lineRule="auto"/>
        <w:rPr>
          <w:sz w:val="20"/>
          <w:szCs w:val="20"/>
          <w:color w:val="auto"/>
        </w:rPr>
      </w:pPr>
      <w:r>
        <w:rPr>
          <w:rFonts w:ascii="Arial" w:cs="Arial" w:eastAsia="Arial" w:hAnsi="Arial"/>
          <w:sz w:val="17"/>
          <w:szCs w:val="17"/>
          <w:color w:val="auto"/>
        </w:rPr>
        <w:t xml:space="preserve">We did not complete any capital-raising or other significant financing activities during Fiscal 2023. During the quarter ended June 30, 2023, we sold 561,418 shares of our common stock under the terms of our Open Market Sale Agreement </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 Agreement)</w:t>
      </w:r>
      <w:r>
        <w:rPr>
          <w:rFonts w:ascii="Arial" w:cs="Arial" w:eastAsia="Arial" w:hAnsi="Arial"/>
          <w:sz w:val="17"/>
          <w:szCs w:val="17"/>
          <w:color w:val="auto"/>
        </w:rPr>
        <w:t xml:space="preserve"> for our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resulting in gross cash proceeds of approximately $1.15 million. Since June 30, 2023 and through the date of the issuance of this Report, we sold an aggregate of 1,487,293 shares of our common stock under the Sales Agreement at a weighted average price of $11.36 per share and received gross cash proceeds of $16,893,700. Proceeds from public offerings, warrant exercises and other transactions consummated prior to Fiscal 2023 have provided the primary sources of our liquidity during Fiscal 2023 and through the date of this Report in our current fiscal year.</w:t>
      </w:r>
    </w:p>
    <w:p>
      <w:pPr>
        <w:spacing w:after="0" w:line="202"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We had cash and cash equivalents of approximately $9.6 million at June 30, 2023, which we believe will not be sufficient to fund our planned operations for the twelve months following the issuance of the Financial Statements included elsewhere in this Report, which raises substantial doubt regarding our ability to continue as a going concern. We are continuing to manage our cash resources, including cash resources received since June 30, 2023, as we evaluate the potential implications for the initiation, conduct and timing of clinical trials, including Phase 3 trials of fasedienol, the Phase 2B trial of itruvone and nonclinical studies of our other pherine candidates, and strategies for the further development and potential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any of our product candidates.</w:t>
      </w:r>
    </w:p>
    <w:p>
      <w:pPr>
        <w:spacing w:after="0" w:line="178"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During the next twelve months, subject to availability of adequate working capital or strategic partnering arrangements, either on our own or with collaborators, we plan to (i) prepare for and initiate, on our own or with a strategic partner, our Phase 3 PALISADE-3 and Phase 3 FEARLESS clinical trials of fasedienol as a potential new treatment of anxiety in adults with SAD, (ii) prepare for and initiate, on our own or with a strategic partner, a Phase 2B clinical trial of itruvone as a potential stand-alone treatment for MDD, (iii) prepare for and initiate, on our own or with a strategic partner, U.S. IND-enabling nonclinical activities to facilitate Phase 2B development, on or own or with a strategic partner, of PH80 for the treatment of vasomotor symptoms (hot flashes) due to menopause, (iv) prepare for and initiate, on our own or with a strategic partner, U.S. IND-enabling nonclinical activities to facilitate potential Phase 2A development of PH15 for cognitive and psychomotor performance improvement, PH284 for cachexia, (v) prepare for and initiate, on our own or with a strategic partner, Phase 2A development of AV-101 for one or more neurological disorders involving the NMDAR, and (vi) conduct various nonclinical studies involving each of our product candidates.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31" w:name="page32"/>
    <w:bookmarkEnd w:id="31"/>
    <w:p>
      <w:pPr>
        <w:jc w:val="both"/>
        <w:spacing w:after="0" w:line="272" w:lineRule="auto"/>
        <w:rPr>
          <w:sz w:val="20"/>
          <w:szCs w:val="20"/>
          <w:color w:val="auto"/>
        </w:rPr>
      </w:pPr>
      <w:r>
        <w:rPr>
          <w:rFonts w:ascii="Arial" w:cs="Arial" w:eastAsia="Arial" w:hAnsi="Arial"/>
          <w:sz w:val="17"/>
          <w:szCs w:val="17"/>
          <w:color w:val="auto"/>
        </w:rPr>
        <w:t xml:space="preserve">When necessary and advantageous, we will seek additional financial resources to fund our planned operations through (i) sales of our equity and/or debt securities in one or more public offerings, including under the Sales Agreement, and/or private placements (ii) non-dilutive government grants and research awards and (iii) non-dilutive strategic partnering collaborations to advance development and commercialization of our product candidates. However, no assurance can be provided that any such sales of our securities, awards, agreements and/or collaborations will occur in the future. Subject to certain restrictions, our Registration Statement on Form S-3 (the </w:t>
      </w:r>
      <w:r>
        <w:rPr>
          <w:rFonts w:ascii="Arial" w:cs="Arial" w:eastAsia="Arial" w:hAnsi="Arial"/>
          <w:sz w:val="17"/>
          <w:szCs w:val="17"/>
          <w:i w:val="1"/>
          <w:iCs w:val="1"/>
          <w:color w:val="auto"/>
        </w:rPr>
        <w:t>S-3 Shelf Registration Statement</w:t>
      </w:r>
      <w:r>
        <w:rPr>
          <w:rFonts w:ascii="Arial" w:cs="Arial" w:eastAsia="Arial" w:hAnsi="Arial"/>
          <w:sz w:val="17"/>
          <w:szCs w:val="17"/>
          <w:color w:val="auto"/>
        </w:rPr>
        <w:t>) remains available for future sales of our equity securities in one or more public offerings from time to time. While we may make additional sales of our equity securities under the S-3 Shelf Registration Statement and/or under the Sales Agreement, we do not have an obligation to do so.</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and funding from non-dilutive sources, and continue to carefully manage our operating costs, including, but not limited to, our clinical and nonclinical programs.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there can be no assurance that future financings will be available to us in sufficient amounts, in a timely manner, or on terms acceptable to us, if at all, or that current or future development and commercialization collaborations under the AffaMed Agreement or other potential strategic partnering collaborations will generate revenue from future potential milestone payments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3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57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(15,968)</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57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(7,016)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(16,149)</w:t>
            </w:r>
          </w:p>
        </w:tc>
      </w:tr>
      <w:tr>
        <w:trPr>
          <w:trHeight w:val="216"/>
        </w:trPr>
        <w:tc>
          <w:tcPr>
            <w:tcW w:w="5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16,638</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68,135</w:t>
            </w:r>
          </w:p>
        </w:tc>
      </w:tr>
      <w:tr>
        <w:trPr>
          <w:trHeight w:val="20"/>
        </w:trPr>
        <w:tc>
          <w:tcPr>
            <w:tcW w:w="57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9,622</w:t>
            </w:r>
          </w:p>
        </w:tc>
        <w:tc>
          <w:tcPr>
            <w:tcW w:w="18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51,986</w:t>
            </w:r>
          </w:p>
        </w:tc>
      </w:tr>
      <w:tr>
        <w:trPr>
          <w:trHeight w:val="20"/>
        </w:trPr>
        <w:tc>
          <w:tcPr>
            <w:tcW w:w="5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indicated above, proceeds received from public offerings, warrant exercises and other transactions prior to Fiscal 2023 have provided our primary cash resources during Fiscal 2023 and to-date in Fiscal 2023. The decrease in cash used in operations during the quarter ended June 30, 2023 compared to the quarter ended June 30, 2022 primarily reflects our completion, pause or termination of fasedienol clinical trials including PALISADE-1, PALISADE-2, the PALISADE OLS, and the Phase 2 AjDA study, as previously described, while continuing to support ongoing manufacturing and regulatory initiatives and other nonclinical studies for our product candidates. While we had expanded our internal capabilities with the addition of numerous senior personnel with significant expertise in disciplines critical to the advancement of our product pipeline during Fiscal 2022 and Fiscal 2023, certain employees voluntarily resigned from their positions within the Company following announcement of the PALISADE-1 results. During Fiscal 2023, in parallel with our clinical trials and other regulatory initiatives, and in expectation of positive results from the PALISADE Phase 3 Program, we engaged in customary pre-commercialization analyses, modeling, planning and awareness initiatives. Given the outcome of the PALISADE-1 study, we terminated most of such activities, which further reduced our use of cash in the first quarter of Fiscal 2024.</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use cash in investing activities in the first quarter of Fiscal 2024. In the first quarter of Fiscal 2023, we purchased laboratory analytical equipment for our internal studies and experiments on both fasedienol and itruvone.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financing activities in the quarter ended June 30, 2023 primarily reflects net proceeds from our transactions under the ATM with Jefferies, net of a principal payment on our insurance premium financing note. Cash used by financing activities in the quarter ended June 30, 2022 primarily reflects the proceeds of option exercises and the purchase of common stock under our ESPP, net of a principal payment on our insurance premium financing note and expenditures related to the ATM transaction with Jefferies which are recorded as deferred offering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was no change in our internal control over financial reporting (as defined in Rule 13a-15(f) of the Exchange Act) from that described in our Annual Report on Form 10-K for our fiscal year ended March 31, 2023,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on June 28, 2023, that occurred during the quarter ended June 30, 2023, to which this Report relates, that has materially affected, or is reasonably likely to materially affect,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below, before investing in our securities. These risks include, among others:</w:t>
      </w:r>
    </w:p>
    <w:p>
      <w:pPr>
        <w:spacing w:after="0" w:line="184" w:lineRule="exact"/>
        <w:rPr>
          <w:sz w:val="20"/>
          <w:szCs w:val="20"/>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require substantial additional financing to execute our long-term business plan either on our own or with collaborators, including further development of our product candidates;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revenues from product sales or approved products, and limited experience developing new drug candidates, which makes it difficult to assess our future viability;</w:t>
      </w:r>
    </w:p>
    <w:p>
      <w:pPr>
        <w:spacing w:after="0" w:line="170" w:lineRule="exact"/>
        <w:rPr>
          <w:rFonts w:ascii="Arial" w:cs="Arial" w:eastAsia="Arial" w:hAnsi="Arial"/>
          <w:sz w:val="18"/>
          <w:szCs w:val="18"/>
          <w:color w:val="auto"/>
        </w:rPr>
      </w:pPr>
    </w:p>
    <w:p>
      <w:pPr>
        <w:ind w:left="980" w:hanging="486"/>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failures of our current and/or future clinical studies of our product candidates, or delays in the commencement of completion of our clinical trials, could result in increased costs to us and could delay, prevent or limit our ability to generate revenue and continue our business;</w:t>
      </w:r>
    </w:p>
    <w:p>
      <w:pPr>
        <w:spacing w:after="0" w:line="123"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retain or attract key management and scientific personnel, we may be unable to successfully produce and develop our product candidates;</w:t>
      </w:r>
    </w:p>
    <w:p>
      <w:pPr>
        <w:spacing w:after="0" w:line="170"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completion of clinical or nonclinical studies in any of our development programs may not be sufficient to cause the FDA to approves any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18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7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w:t>
      </w:r>
    </w:p>
    <w:p>
      <w:pPr>
        <w:spacing w:after="0" w:line="183"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 and</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below.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of therapeutic products, which makes it difficult to assess our future viability.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development-stage biopharmaceutical company. We currently have no approved products and no revenue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any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and regulatory approval of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long-term business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our inception through 2019, a substantial portion of our resources were dedicated to research and development of AV-101 and Vistastem’s stem cell technology platform. Since 2019, we have expended a considerable portion of our resources for research, clinical development, manufacturing and regulatory expense related to fasedienol and itruvone, including costs related to the PALISADE Phase 3 Program and our Phase 1 study of itruvone in MDD. We expect to continue to expend substantial resources for the foreseeable future developing fasedienol, itruvone, AV-101 and our other product candidates, PH15, PH80 and PH284,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should the FDA approve any of such product candidates for sale.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cash and cash equivalents of approximately $9.6 million at June 30, 2023, and we have not yet developed products that generate recurring revenue. Assuming successful completion of our planned clinical and nonclinical programs, we will need to invest substantial additional capital resources to commercialize any of them.</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next twelve months, subject to availability of adequate working capital, we plan to (i) continue to advance our FEARLESS Phase 3 Program, on our own or with a collaborator, to develop and commercialize fasedienol as a new acute treatment of anxiety in adults with SAD, (ii) complete preparations, on our own or with a collaborator, for and initiate further Phase 2B clinical development of itruvone as a potential stand-alone treatment for MDD, (iii) complete IND-enabling activities, either on our own with a collaborator, for Phase 2B development of PH80, PH15 and PH284 and Phase 2A development of AV-101 for one or more neurological disorders involving the NMDAR, and (iv) conduct various nonclinical studies involving each of our product candidates.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received the $5 million upfront payment under the AffaMed Agreement in August 2020 and expect to recognize that amount as revenue in future periods, we have no other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transactions involving our stem cell technology, or (iii) obtain approval from the FDA and other regulatory authorities and successfully commercialize fasedienol, or one of our other product candidates, on our own or through collaborations.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any of our product candidates, on our own or in collaboration with others. As in prior periods, we will continue to incur substantial costs associated with other clinical and nonclinical development programs for our product candidates. In addition, other unanticipated costs may arise. As a result of these and other factors, we will need to seek additional capital to meet our future operating plans and requirements, including capital necessary to develop, obtain regulatory approval for fasedienol and our other product candidates, and may seek additional capital in the event there exists favorable market conditions or strategic considerations, even if we believe we have sufficient funds for our current or future operating plans and requirements.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intend to pursue and complete additional financing arrangements in the future. Our future capital requirements may depend on many factors, including:</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developing and commercializing our product candidates, and conducting preclinical and clinical studies;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collaborative arrangements and the financial terms of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additional fundraising efforts will divert certain members of our management team from their day-to-day activities, which may adversely affect our ability to develop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When necessary, if we are unable to obtain additional funding on a timely basis and on acceptable terms, we may be required to significantly curtail, delay or discontinue one or more of our research or product development programs or be unable to continue or expand our operations or otherwise capitalize on our business opportunities, as desired, which could materially affect our business, financial condition and results of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future success is highly dependent upon our ability to successfully develop, on our own or with collaborators, any of our current CNS product candidates or acquire or license additional CNS product candidates, and we cannot provide any assurance that we will successfully develop and obtain regulatory approval of any of our current CNS product candidates or future product candidates, or that, if approved, any of our CNS product candidates will be successfully commercialized.</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If beneficial, we may seek to collaborate with others to develop and commercialize any of our current or future CNS product candidates, if and when they are acquired and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our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Product Development, Regulatory Approval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of our current and/or future clinical studies of our product candidates could result in increased costs to us and could delay, prevent or limit our ability to generate revenue and continue our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PALISADE-1 Phase 3 clinical study of fasedienol for the acute treatment of anxiety in adults with SAD did not achieve its primary endpoint, as measured by change from baseline using the SUDS as compared to placebo. Successful completion of our nonclinical and clinical trials is a prerequisite to submitting an NDA and, consequently, the ultimate approval required before commercial marketing of any product candidate we may develop. Failure of any of our current and/or future clinical and nonclinical trials to achieve the planned endpoints, such as our PALISADE-1 Phase 3 clinical trial of fasedienol, could result in increased costs to us and could delay, prevent or limit our ability to generate revenue and continue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CNS drug candidates and we cannot be certain that we will be able to obtain regulatory approval for any of our product candidates.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have no drug products for sale and may never be able to develop marketable drug products. Our business currently depends heavily on the successful development, manufacturing and regulatory approval of one or more of our current CNS drug candidates, as well as our ability to acquire, license or produce and develop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65" w:lineRule="exact"/>
        <w:rPr>
          <w:sz w:val="20"/>
          <w:szCs w:val="20"/>
          <w:color w:val="auto"/>
        </w:rPr>
      </w:pPr>
    </w:p>
    <w:p>
      <w:pPr>
        <w:jc w:val="both"/>
        <w:ind w:left="660" w:hanging="328"/>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69" w:lineRule="auto"/>
        <w:rPr>
          <w:sz w:val="20"/>
          <w:szCs w:val="20"/>
          <w:color w:val="auto"/>
        </w:rPr>
      </w:pPr>
      <w:r>
        <w:rPr>
          <w:rFonts w:ascii="Arial" w:cs="Arial" w:eastAsia="Arial" w:hAnsi="Arial"/>
          <w:sz w:val="17"/>
          <w:szCs w:val="17"/>
          <w:color w:val="auto"/>
        </w:rPr>
        <w:t>In addition, certain of our product candidates, including fasedienol and itruvone,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Arial" w:cs="Arial" w:eastAsia="Arial" w:hAnsi="Arial"/>
          <w:sz w:val="17"/>
          <w:szCs w:val="17"/>
          <w:i w:val="1"/>
          <w:iCs w:val="1"/>
          <w:color w:val="auto"/>
        </w:rPr>
        <w:t>QS</w:t>
      </w:r>
      <w:r>
        <w:rPr>
          <w:rFonts w:ascii="Arial" w:cs="Arial" w:eastAsia="Arial" w:hAnsi="Arial"/>
          <w:sz w:val="17"/>
          <w:szCs w:val="17"/>
          <w:color w:val="auto"/>
        </w:rPr>
        <w:t>) regulations applicable to medical devices. Problems associated with the device component of the combination product candidate may delay or prevent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late-2019,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spread across the world and caused considerable uncertainty about the potential effects of the virus and its variants,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 The COVID-19 pandemic has impacted our business and may continue to do so. Additionally, future outbreaks may have several adverse effects on our business, results of operations and financial condition.</w:t>
      </w:r>
    </w:p>
    <w:p>
      <w:pPr>
        <w:spacing w:after="0" w:line="161" w:lineRule="exact"/>
        <w:rPr>
          <w:sz w:val="20"/>
          <w:szCs w:val="20"/>
          <w:color w:val="auto"/>
        </w:rPr>
      </w:pPr>
    </w:p>
    <w:p>
      <w:pPr>
        <w:jc w:val="both"/>
        <w:ind w:left="660" w:hanging="328"/>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Adverse impact on product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Recent medical literature has reported that the SARS-COV-2 virus, which causes COVID-19,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cause long-term and reversible olfactory dysfunction (</w:t>
      </w:r>
      <w:r>
        <w:rPr>
          <w:rFonts w:ascii="Arial" w:cs="Arial" w:eastAsia="Arial" w:hAnsi="Arial"/>
          <w:sz w:val="17"/>
          <w:szCs w:val="17"/>
          <w:i w:val="1"/>
          <w:iCs w:val="1"/>
          <w:color w:val="auto"/>
        </w:rPr>
        <w:t>OD</w:t>
      </w:r>
      <w:r>
        <w:rPr>
          <w:rFonts w:ascii="Arial" w:cs="Arial" w:eastAsia="Arial" w:hAnsi="Arial"/>
          <w:sz w:val="17"/>
          <w:szCs w:val="17"/>
          <w:color w:val="auto"/>
        </w:rPr>
        <w:t>) in approximately 30% of affected individuals. OD may occur in cases where the SARS-COV-2 virus damages the nasal chemosensory epithelium, a structure in the nose where the types of cells are found that respond to pherines such as fasedienol, itruvone, PH15, PH80 and PH284. Accordingly, there is a risk that the prevalence of OD caused by COVID-19 infections may interfere with the ability of our pherine nasal sprays to provide a therapeutic benefit, which, may, in turn, have a materially adverse impact on results of our clinical trials designed to assess the efficacy of these product candidates or a negative impact on potential future sales should any of our pherine nasal sprays be approved for commercialization.</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Negative impacts on our employees, collaborators and suppliers</w:t>
      </w:r>
      <w:r>
        <w:rPr>
          <w:rFonts w:ascii="Arial" w:cs="Arial" w:eastAsia="Arial" w:hAnsi="Arial"/>
          <w:sz w:val="17"/>
          <w:szCs w:val="17"/>
          <w:color w:val="auto"/>
        </w:rPr>
        <w:t>: COVID-19 has impacted, and variant and subvariant strains of COVID-19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During the acute phase of the COVID-19 pandemic, we experienced delays of the delivery of supplies of active pharmaceutical product (</w:t>
      </w:r>
      <w:r>
        <w:rPr>
          <w:rFonts w:ascii="Arial" w:cs="Arial" w:eastAsia="Arial" w:hAnsi="Arial"/>
          <w:sz w:val="17"/>
          <w:szCs w:val="17"/>
          <w:i w:val="1"/>
          <w:iCs w:val="1"/>
          <w:color w:val="auto"/>
        </w:rPr>
        <w:t>API</w:t>
      </w:r>
      <w:r>
        <w:rPr>
          <w:rFonts w:ascii="Arial" w:cs="Arial" w:eastAsia="Arial" w:hAnsi="Arial"/>
          <w:sz w:val="17"/>
          <w:szCs w:val="17"/>
          <w:color w:val="auto"/>
        </w:rPr>
        <w:t>) required to continue development of fasedienol and itruvone.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COVID-19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have been granted Fast Track designation from the FDA for development of fasedienol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fasedienol or AV-101. Further, there is no guarantee the FDA will grant Fast Track designation for fasedienol or AV-101 as a treatment option for other CNS indications or for any of our other product candidates in the future.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fasedienol for the treatment of SAD. However, these FDA Fast Track designations may not lead to a faster development or regulatory review or approval process for fasedienol or AV-101 and the FDA may withdraw Fast Track designation of fasedienol or AV-101 if it believes that the respective designation is no longer supported by data from our clinical development programs.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apply for Fast Track designation for fasedienol, AV-101 and any of our other product candidates as a treatment option for other CNS indications. The FDA has broad discretion whether or not to grant a Fast Track designation, and even if we believe our product candidates may be eligible for this designation, we cannot be sure that the FDA will grant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our current and/or our other future product candidates, if any, including positive results, may not be predictive of the results of later-stage clinical trials. Each of our current or any other future product candidates in later stages of clinical development may fail to show the desired safety and efficacy results despite having progressed through nonclinical studies and initial clinical trials, as is the case for results from our PALISADE-1 clinical trial.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future nonclinical or clinical studies fail to produce positive results, the development timeline and regulatory approval and commercialization prospects for these candidates and, correspondingly, our business and financial prospects, could be materially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planned timing or nature of clinical trials compared to completed clinical trials could impede our ability to meet our clinical development objectives for our product candidates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the timing of planned clinical trials were effected by delays caused by the COVID-19 pandemic, including delays in recruitment and enrollment in our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resulting from the COVID-19 pandemic could cause us to incur additional costs or delay initiation or completion of planned clinical and/or nonclinical trials.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our product candidates occur, the clinical development of our product candidates may be delayed or adversely affected.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reported in any clinical trials of any of our product candidates completed to date, if treatment-related SAEs or other undesirable side effects or safety concerns, or unexpected characteristics attributable to any of our product candidates are reported in any future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spacing w:after="0" w:line="308"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drug safety program or REMS-like plan to ensure that the benefits of the product outweigh its risks;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 which in turn could delay or prevent us from generating significant revenue from the sale of our product candidates.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nonclinical and clinical studies of our product candidates could result in increased costs to us and could delay, prevent or limit our ability to generate revenue and continue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will need to successfully complete at least two Phase 3 clinical trials and certain other clinical and nonclinical studies prior to our potential submission of an NDA for regulatory approval of fasedienol as an as needed, over time, treatment of anxiety in adults with SAD. For itruvone,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itruvone as a stand-alone rapid-onset treatment for MDD, or any other depression disorder. For AV-101,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For PH15, PH80 and PH284, we are in the process of determining the work required to successfully complete the clinical and nonclinical development of each of these product candidates.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any of our product candidates will be completed on schedule, if at all, as the commencement and completion of nonclinical and clinical trials can be delayed or prevented for a number of reasons, including, among others:</w:t>
      </w:r>
    </w:p>
    <w:p>
      <w:pPr>
        <w:spacing w:after="0" w:line="186"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7"/>
          <w:szCs w:val="17"/>
          <w:i w:val="1"/>
          <w:iCs w:val="1"/>
          <w:color w:val="auto"/>
        </w:rPr>
        <w:t>DSMB</w:t>
      </w:r>
      <w:r>
        <w:rPr>
          <w:rFonts w:ascii="Arial" w:cs="Arial" w:eastAsia="Arial" w:hAnsi="Arial"/>
          <w:sz w:val="17"/>
          <w:szCs w:val="17"/>
          <w:color w:val="auto"/>
        </w:rPr>
        <w:t>), overseeing the clinical trial at issue or other regulatory authorities due to a number of factors, including, among others:</w:t>
      </w:r>
    </w:p>
    <w:p>
      <w:pPr>
        <w:spacing w:after="0" w:line="16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regulatory requirements, regulatory guidance or unanticipated events during our nonclinical studies and clinical trials of our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Changes in regulatory requirements, guidance or unanticipated events during our nonclinical studies and clinical trials of any of our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CNS product candidates may be harmed and our ability to generate product revenue will be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our current and/or future CNS product candidates may be delayed and we may not be able to obtain regulatory approval for our current or future CNS product candidates and our business could be substantially harmed.</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 parties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spacing w:after="0" w:line="16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disruptions to their operations, such as staff attrition, reduced staffing and supply chain disruptions;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investigator-sponsored clinical studies, we cannot control the amount and timing of resources these third 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completely on third 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API and formulate final drug product for any of pir product candidates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or successfully manufacture our product candidates, including API and finished drug product, that conforms to our specifications and the strict regulatory requirements of the FDA or applicable foreign regulatory agencies, production of sufficient supplies of our product candidates, including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any of our product candidates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yet have long-term supply agreements in place with our CMOs and each batch manufactured of our product candidates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fasedienol, itruvone, PH15, PH80 and PH284, and the current and projected supply of API and finished drug product for each of our product candidates will be adequate to support our planned nonclinical and clinical studies, no assurance can be given that unanticipated supply shortages or CMO-related delays in the manufacture and formulation of API and/or finished drug product for any or all of our product candidates will not occur in the future.</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Additionally, fasedienol, itruvone, PH15, PH80 and PH284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7"/>
          <w:szCs w:val="17"/>
          <w:i w:val="1"/>
          <w:iCs w:val="1"/>
          <w:color w:val="auto"/>
        </w:rPr>
        <w:t>QSR</w:t>
      </w:r>
      <w:r>
        <w:rPr>
          <w:rFonts w:ascii="Arial" w:cs="Arial" w:eastAsia="Arial" w:hAnsi="Arial"/>
          <w:sz w:val="17"/>
          <w:szCs w:val="17"/>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CNS product candidate in the U.S., we may never receive regulatory approval to market the same CNS product candidate outside of the U.S.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market any of our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can commercialize our product candidates in the U.S. or any market outside the U.S., the U.S. Drug Enforcement Administration (</w:t>
      </w:r>
      <w:r>
        <w:rPr>
          <w:rFonts w:ascii="Arial" w:cs="Arial" w:eastAsia="Arial" w:hAnsi="Arial"/>
          <w:sz w:val="17"/>
          <w:szCs w:val="17"/>
          <w:i w:val="1"/>
          <w:iCs w:val="1"/>
          <w:color w:val="auto"/>
        </w:rPr>
        <w:t>DEA</w:t>
      </w:r>
      <w:r>
        <w:rPr>
          <w:rFonts w:ascii="Arial" w:cs="Arial" w:eastAsia="Arial" w:hAnsi="Arial"/>
          <w:sz w:val="17"/>
          <w:szCs w:val="17"/>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will not be regulated as controlled substances.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 from product sales.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 Moreover, creating broad sales and marketing capabilities will require substantial capital, which we may not be able to obtain.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spacing w:after="0" w:line="184" w:lineRule="exact"/>
        <w:rPr>
          <w:sz w:val="20"/>
          <w:szCs w:val="20"/>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CNS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spacing w:after="0" w:line="301"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5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our CNS product candidates, we may still face future development and regulatory difficulties.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52" w:lineRule="exact"/>
        <w:rPr>
          <w:rFonts w:ascii="Arial" w:cs="Arial" w:eastAsia="Arial" w:hAnsi="Arial"/>
          <w:sz w:val="18"/>
          <w:szCs w:val="18"/>
          <w:color w:val="auto"/>
        </w:rPr>
      </w:pPr>
    </w:p>
    <w:p>
      <w:pPr>
        <w:ind w:left="5540" w:right="2180" w:hanging="5208"/>
        <w:spacing w:after="0" w:line="559" w:lineRule="auto"/>
        <w:tabs>
          <w:tab w:leader="none" w:pos="6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Competing therapies could emerge adversely affecting our opportunity to generate revenue from the sale of our CNS product candidates.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management is unaware of any FDA-approved rapid-onset, treatment of anxiety in adults with SAD having the same mechanism of pharmacological action and safety profile as fasedienol. Also, management is currently unaware of any FDA-approved oral treatment for MDD having the same mechanism of pharmacological action and safety profile as our intranasally-administered itruvone or our orally 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itruvone or AV-101 in combination with probenecid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used before or instead of standard antidepressant medications to treat patients with MDD.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respect to fasedienol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 We are still assessing our competition for PH80 for the treatment of hot flashes due to menopause and for migraine headaches, PH15 to improve cognitive impairment and PH284 for the loss of appetite.</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fasedienol,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itruvone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drug development programs and the potential commercialization of our investigational product candidates will require substantial additional cash to fund expenses. We may decide to collaborate with pharmaceutical and biotechnology companies for the development and potential commercialization of those product candidates, such as the AffaMed Agreement.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derive revenue from research and development fees, license fees, milestone payments and royalties under any collaborative arrangement into which we enter, including the AffaMed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CNS product candidates with therapeutic and commercial potential. We may fail to pursue additional development opportunities for our current CNS product candidates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strategically focus on a limited number of research and development programs and product candidates and are currently focused primarily on development of fasedienol and itruvone. As a result, we may forego or delay pursuit of opportunities with other product candidates or for other potential CNS-related indications for fasedienol and/or itruvone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64" w:lineRule="exact"/>
        <w:rPr>
          <w:sz w:val="20"/>
          <w:szCs w:val="20"/>
          <w:color w:val="auto"/>
        </w:rPr>
      </w:pPr>
    </w:p>
    <w:p>
      <w:pPr>
        <w:jc w:val="both"/>
        <w:ind w:left="660" w:hanging="328"/>
        <w:spacing w:after="0" w:line="31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10" w:gutter="0" w:footer="0" w:header="0"/>
        </w:sectPr>
      </w:pPr>
    </w:p>
    <w:bookmarkStart w:id="48" w:name="page49"/>
    <w:bookmarkEnd w:id="48"/>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if approved. In particular, a product may not be promoted for uses that are not approved by the FDA or such other regulatory agencies as reflected in the product’s approved labeling. For example, if we receive FDA marketing approval for fasedienol as an needed treatment of anxiety in adults with SAD, physicians may prescribe fasedienol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CNS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fasedienol in key Asian markets. If we commercialize our product candidates in foreign markets, we would be subject to additional risks and uncertainties, including:</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$59.2 million and $47.8 million during our fiscal years ended March 31, 2023 and 2022, respectively, and approximately $6.9 million during the quarter ended June 30, 2023. At March 31, 2023, we had an accumulated deficit of approximately $326.9 million and our auditors have included a qualification to their opinion on our Financial Statements at March 31, 2023 as a result of the uncertainty of our ability to continue as a going concern. Our accumulated deficit increased to approximately $333.8 million at June 30, 2023.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 to significantly increase in connection with planned nonclinical and clinical studies, and out-sourced manufacturing, of our product candidates.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become profitable depends upon our ability to generate recurring revenues. Through June 30, 2023, we have generated approximately $22.7 million in revenues, consisting of receipts of non-dilutive cash payments from collaborators, sublicense revenue, including the $5.0 million cash payment received under the AffaMed Agreement during the quarter ended September 30, 2020, approximately $2.8 million of which remains recorded as deferred revenue at June 30, 2023, and research and development grant awards from the U.S. National Institute of Health (</w:t>
      </w:r>
      <w:r>
        <w:rPr>
          <w:rFonts w:ascii="Arial" w:cs="Arial" w:eastAsia="Arial" w:hAnsi="Arial"/>
          <w:sz w:val="18"/>
          <w:szCs w:val="18"/>
          <w:i w:val="1"/>
          <w:iCs w:val="1"/>
          <w:color w:val="auto"/>
        </w:rPr>
        <w:t>NIH</w:t>
      </w:r>
      <w:r>
        <w:rPr>
          <w:rFonts w:ascii="Arial" w:cs="Arial" w:eastAsia="Arial" w:hAnsi="Arial"/>
          <w:sz w:val="18"/>
          <w:szCs w:val="18"/>
          <w:color w:val="auto"/>
        </w:rPr>
        <w:t>).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our current and/or future CNS product candidate, or we enter into one or more development and commercialization agreements with respect our current CNS product candidates or one or more other future CNS product candidates. Our ability to generate recurring revenue depends on a number of factors, including, but not limited to, our ability to:</w:t>
      </w:r>
    </w:p>
    <w:p>
      <w:pPr>
        <w:spacing w:after="0" w:line="196" w:lineRule="exact"/>
        <w:rPr>
          <w:sz w:val="20"/>
          <w:szCs w:val="20"/>
          <w:color w:val="auto"/>
        </w:rPr>
      </w:pPr>
    </w:p>
    <w:p>
      <w:pPr>
        <w:ind w:left="5540" w:right="3340" w:hanging="5208"/>
        <w:spacing w:after="0" w:line="559" w:lineRule="auto"/>
        <w:tabs>
          <w:tab w:leader="none" w:pos="6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CNS product candidates;</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complete and compose successful regulatory submissions such as NDAs or comparable documents for both the U.S. and foreign jurisdictions;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commercialize our CNS product candidates, if approved, by developing a sales force and/or entering into collaborations with third parties for sales and marketing capabilities;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market acceptance of our CNS product candidates in the medical community and with third-party payers.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date, our principal sources of capital used to fund our development programs and other operations have been the net proceeds we received from sales of equity securities. We have and will continue to use significant capital for the development of our product candidates, and, as such, we expect to seek additional capital from future issuance(s) of our securities, which may consist of issuances of equity and/or debt securities, to fund our planned operations.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our results of operations and the implementation of both our short-term and long-term business plan could be adversely affected by general conditions in the global economy, including conditions that are outside of our control.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8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Ensuring that we have adequate internal control over financial reporting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Implementing any future changes to our internal control over financial reporting may entail substantial costs to hire additional personnel, modify our existing processes and will take significant time to fully implement.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to maintain or implement required effective internal control over financial reporting, or any difficulties we encounter in their implementation, could result in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Securities and Exchange Commission or other regulatory authorities, which could require additional financial and management resources.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the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require substantial additional financing to fund future operations, including research and development activities for our CNS product candidates,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2023, we had federal and state net operating loss carryforwards of approximately $191.9 million and $65.2 million, respectively, which have begun to expire in Fiscal 2022 and will continue to expire in future periods.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prior or future offerings of our debt and/or equity securities, private placements, sales of our common stock by our existing stockholders or additional sales of our common stock by us could have a material adverse effect on our results of operations in future years. We have not yet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attract senior management and key scientific personnel, we may be unable to successfully produce and develop our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technical personnel across multiple key functions, including, but not limited to clinical operations, finance, legal, human resources, information technology, CMC and quality assurance, regulatory affairs and medical affairs. We are highly dependent upon our Chief Executive Officer and Chief Financial Officer, as well as our other senior management personnel, advisors, consultants and scientific and clinical collaborators. As of the date of this Report, we have 32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following our change in business plans as a result of the negative results of our PALISADE-1 clinical trial or in the future. As of the date of this Report, a total of nine employees have voluntarily resigned from their positions within the Company since the PALISADE-1 outcome was reported, including our Chief Commercial Officer and Chief Medical Officer. Work conducted by these individuals that furthers our current business plan has assumed by other employees and, when appropriate, based on clinical, regulatory and financial considerations, may be resumed by personnel hired in the future. However, competition for qualified personnel in the pharmaceuticals field is intense, and we may not be able to attract and retain quality personnel on acceptable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seek to advance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financial performance and our ability to develop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any of the product candidates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development programs or otherwise materially harm our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fasedienol, itruvone,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Remote working arrangements could significantly increase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digital and cybersecurity risks.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(PH94B), itruvone (PH10), PH80, PH15 and AV-101 and have licensed patents and patent applications related to certain stem cell technology.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Moreover, other parties may have developed technologies that may be related or competitive to our product candidates and may have filed or may file patent applications and may have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the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7"/>
          <w:szCs w:val="17"/>
          <w:i w:val="1"/>
          <w:iCs w:val="1"/>
          <w:color w:val="auto"/>
        </w:rPr>
        <w:t>USPTO</w:t>
      </w:r>
      <w:r>
        <w:rPr>
          <w:rFonts w:ascii="Arial" w:cs="Arial" w:eastAsia="Arial" w:hAnsi="Arial"/>
          <w:sz w:val="17"/>
          <w:szCs w:val="17"/>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rejections based on that post. Another source of uncertainty pertains to patent properties that were in-licensed by us for which prior art submissions were under the control of the licensor. We rely on these licensors to satisfy the relevant disclosure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one of our licensing partners initiated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and the damages or other remedies awarded if we prevailed may not be commercially meaningful.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660" w:hanging="328"/>
        <w:spacing w:after="0" w:line="221" w:lineRule="exact"/>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granted patents related to our product candidates or any pending patent applications, if granted and challenged by others, will include or maintain claims having a scope sufficient to protect[?]</w:t>
      </w:r>
      <w:r>
        <w:rPr>
          <w:rFonts w:ascii="MS PGothic" w:cs="MS PGothic" w:eastAsia="MS PGothic" w:hAnsi="MS PGothic"/>
          <w:sz w:val="17"/>
          <w:szCs w:val="17"/>
          <w:color w:val="auto"/>
        </w:rPr>
        <w:t>‐‐‐‐‐</w:t>
      </w:r>
      <w:r>
        <w:rPr>
          <w:rFonts w:ascii="Arial" w:cs="Arial" w:eastAsia="Arial" w:hAnsi="Arial"/>
          <w:sz w:val="17"/>
          <w:szCs w:val="17"/>
          <w:color w:val="auto"/>
        </w:rPr>
        <w:t xml:space="preserve">these product candidates or any other products or product candidates against generic or other competition, particularly considering that any patent rights to these compounds </w:t>
      </w:r>
      <w:r>
        <w:rPr>
          <w:rFonts w:ascii="Arial" w:cs="Arial" w:eastAsia="Arial" w:hAnsi="Arial"/>
          <w:sz w:val="17"/>
          <w:szCs w:val="17"/>
          <w:i w:val="1"/>
          <w:iCs w:val="1"/>
          <w:color w:val="auto"/>
        </w:rPr>
        <w:t>per se</w:t>
      </w:r>
      <w:r>
        <w:rPr>
          <w:rFonts w:ascii="Arial" w:cs="Arial" w:eastAsia="Arial" w:hAnsi="Arial"/>
          <w:sz w:val="17"/>
          <w:szCs w:val="17"/>
          <w:color w:val="auto"/>
        </w:rPr>
        <w:t xml:space="preserve"> have expired;</w:t>
      </w:r>
    </w:p>
    <w:p>
      <w:pPr>
        <w:spacing w:after="0" w:line="228"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derivation proceedings before the United States or other jurisdictions.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jc w:val="both"/>
        <w:spacing w:after="0" w:line="254" w:lineRule="auto"/>
        <w:rPr>
          <w:sz w:val="20"/>
          <w:szCs w:val="20"/>
          <w:color w:val="auto"/>
        </w:rPr>
      </w:pPr>
      <w:r>
        <w:rPr>
          <w:rFonts w:ascii="Arial" w:cs="Arial" w:eastAsia="Arial" w:hAnsi="Arial"/>
          <w:sz w:val="18"/>
          <w:szCs w:val="18"/>
          <w:color w:val="auto"/>
        </w:rPr>
        <w:t>The biopharmaceutical industry is characterized by extensive litigation regarding patents and other intellectual property rights. Other parties may allege that our product candidates or the use of our technologies infringes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United States or the European Union.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our product candidates.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commercially reasonable terms, if at all;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will need to decide where and when to pursue protection outside the U.S.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both"/>
        <w:spacing w:after="0" w:line="275"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have done previously, we may need to obtain licenses from third parties to advance our research or allow the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jc w:val="both"/>
        <w:spacing w:after="0" w:line="34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Some intellectual property that we have licensed may have been discovered through government-funded programs and thus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8"/>
          <w:szCs w:val="18"/>
          <w:i w:val="1"/>
          <w:iCs w:val="1"/>
          <w:color w:val="auto"/>
        </w:rPr>
        <w:t>Bayh-Dole Act</w:t>
      </w:r>
      <w:r>
        <w:rPr>
          <w:rFonts w:ascii="Arial" w:cs="Arial" w:eastAsia="Arial" w:hAnsi="Arial"/>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7"/>
          <w:szCs w:val="17"/>
          <w:i w:val="1"/>
          <w:iCs w:val="1"/>
          <w:color w:val="auto"/>
        </w:rPr>
        <w:t>Mayo Collaborative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DBA Mayo Medical Laboratories, et al. v. Prometheus Laboratories, Inc.</w:t>
      </w:r>
      <w:r>
        <w:rPr>
          <w:rFonts w:ascii="Arial" w:cs="Arial" w:eastAsia="Arial" w:hAnsi="Arial"/>
          <w:sz w:val="17"/>
          <w:szCs w:val="17"/>
          <w:color w:val="auto"/>
        </w:rPr>
        <w:t>, the Court held that several claims drawn to measuring drug metabolite levels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patent-eligible subject matter. Other more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7"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are currently in compliance with Nasdaq’s continued listing standards, no assurance can be given that we will continue to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As a result, our Board could authorize the issuance of additional series of preferred stock in the futures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achieve a return on their investment will depend on appreciation in the price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reporting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jc w:val="both"/>
        <w:spacing w:after="0" w:line="254"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3"/>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60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4"/>
              </w:rPr>
              <w:t>Certification of the Principal Executive Officer required by Rule 13a-14(a) under the Securities Exchange Act of 1934, as amended, as</w:t>
            </w:r>
          </w:p>
        </w:tc>
      </w:tr>
      <w:tr>
        <w:trPr>
          <w:trHeight w:val="196"/>
        </w:trPr>
        <w:tc>
          <w:tcPr>
            <w:tcW w:w="1140" w:type="dxa"/>
            <w:vAlign w:val="bottom"/>
          </w:tcPr>
          <w:p>
            <w:pPr>
              <w:spacing w:after="0"/>
              <w:rPr>
                <w:sz w:val="17"/>
                <w:szCs w:val="17"/>
                <w:color w:val="auto"/>
              </w:rPr>
            </w:pPr>
          </w:p>
        </w:tc>
        <w:tc>
          <w:tcPr>
            <w:tcW w:w="4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5240" w:type="dxa"/>
            <w:vAlign w:val="bottom"/>
            <w:gridSpan w:val="2"/>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5"/>
              </w:rPr>
              <w:t>Certification of the Principal Financial Officer required by Rule 13a-14(a) under the Securities Exchange Act of 1934, as amended, as</w:t>
            </w:r>
          </w:p>
        </w:tc>
      </w:tr>
      <w:tr>
        <w:trPr>
          <w:trHeight w:val="196"/>
        </w:trPr>
        <w:tc>
          <w:tcPr>
            <w:tcW w:w="1140" w:type="dxa"/>
            <w:vAlign w:val="bottom"/>
          </w:tcPr>
          <w:p>
            <w:pPr>
              <w:spacing w:after="0"/>
              <w:rPr>
                <w:sz w:val="17"/>
                <w:szCs w:val="17"/>
                <w:color w:val="auto"/>
              </w:rPr>
            </w:pPr>
          </w:p>
        </w:tc>
        <w:tc>
          <w:tcPr>
            <w:tcW w:w="4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5240" w:type="dxa"/>
            <w:vAlign w:val="bottom"/>
            <w:gridSpan w:val="2"/>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the Principal Executive and Financial Officers required by Rule 13a-14(b) and Section 1350 of Chapter 63 of Title 18 of the</w:t>
            </w:r>
          </w:p>
        </w:tc>
      </w:tr>
      <w:tr>
        <w:trPr>
          <w:trHeight w:val="196"/>
        </w:trPr>
        <w:tc>
          <w:tcPr>
            <w:tcW w:w="1140" w:type="dxa"/>
            <w:vAlign w:val="bottom"/>
          </w:tcPr>
          <w:p>
            <w:pPr>
              <w:spacing w:after="0"/>
              <w:rPr>
                <w:sz w:val="17"/>
                <w:szCs w:val="17"/>
                <w:color w:val="auto"/>
              </w:rPr>
            </w:pPr>
          </w:p>
        </w:tc>
        <w:tc>
          <w:tcPr>
            <w:tcW w:w="65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United States Code, as adopted pursuant to Section 906 of the Sarbanes-Oxley Act of 2002</w:t>
            </w:r>
          </w:p>
        </w:tc>
        <w:tc>
          <w:tcPr>
            <w:tcW w:w="3560" w:type="dxa"/>
            <w:vAlign w:val="bottom"/>
          </w:tcPr>
          <w:p>
            <w:pPr>
              <w:spacing w:after="0"/>
              <w:rPr>
                <w:sz w:val="17"/>
                <w:szCs w:val="17"/>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8"/>
                <w:szCs w:val="18"/>
                <w:color w:val="auto"/>
              </w:rPr>
              <w:t>101.INS *</w:t>
            </w:r>
          </w:p>
        </w:tc>
        <w:tc>
          <w:tcPr>
            <w:tcW w:w="10100" w:type="dxa"/>
            <w:vAlign w:val="bottom"/>
            <w:gridSpan w:val="3"/>
          </w:tcPr>
          <w:p>
            <w:pPr>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2023</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320" w:top="580" w:right="5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7"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9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332"/>
        <w:spacing w:after="0" w:line="277" w:lineRule="auto"/>
        <w:tabs>
          <w:tab w:leader="none" w:pos="8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20"/>
                <w:szCs w:val="20"/>
                <w:color w:val="auto"/>
              </w:rPr>
            </w:pPr>
            <w:r>
              <w:rPr>
                <w:rFonts w:ascii="Arial" w:cs="Arial" w:eastAsia="Arial" w:hAnsi="Arial"/>
                <w:sz w:val="18"/>
                <w:szCs w:val="18"/>
                <w:color w:val="auto"/>
              </w:rPr>
              <w:t>August 10, 2023</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580" w:type="dxa"/>
            <w:vAlign w:val="bottom"/>
          </w:tcPr>
          <w:p>
            <w:pPr>
              <w:spacing w:after="0"/>
              <w:rPr>
                <w:sz w:val="18"/>
                <w:szCs w:val="18"/>
                <w:color w:val="auto"/>
              </w:rPr>
            </w:pPr>
          </w:p>
        </w:tc>
      </w:tr>
      <w:tr>
        <w:trPr>
          <w:trHeight w:val="222"/>
        </w:trPr>
        <w:tc>
          <w:tcPr>
            <w:tcW w:w="730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30"/>
        </w:trPr>
        <w:tc>
          <w:tcPr>
            <w:tcW w:w="730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9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332"/>
        <w:spacing w:after="0" w:line="277" w:lineRule="auto"/>
        <w:tabs>
          <w:tab w:leader="none" w:pos="8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Arial" w:cs="Arial" w:eastAsia="Arial" w:hAnsi="Arial"/>
                <w:sz w:val="18"/>
                <w:szCs w:val="18"/>
                <w:color w:val="auto"/>
              </w:rPr>
              <w:t>August 10, 2023</w:t>
            </w:r>
          </w:p>
        </w:tc>
        <w:tc>
          <w:tcPr>
            <w:tcW w:w="194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2"/>
        </w:trPr>
        <w:tc>
          <w:tcPr>
            <w:tcW w:w="674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40" w:type="dxa"/>
            <w:vAlign w:val="bottom"/>
          </w:tcPr>
          <w:p>
            <w:pPr>
              <w:spacing w:after="0"/>
              <w:rPr>
                <w:sz w:val="19"/>
                <w:szCs w:val="19"/>
                <w:color w:val="auto"/>
              </w:rPr>
            </w:pPr>
          </w:p>
        </w:tc>
      </w:tr>
      <w:tr>
        <w:trPr>
          <w:trHeight w:val="230"/>
        </w:trPr>
        <w:tc>
          <w:tcPr>
            <w:tcW w:w="674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240"/>
          </w:cols>
          <w:pgMar w:left="320" w:top="121" w:right="339" w:bottom="1440" w:gutter="0" w:footer="0" w:header="0"/>
        </w:sectPr>
      </w:pPr>
    </w:p>
    <w:bookmarkStart w:id="69" w:name="page70"/>
    <w:bookmarkEnd w:id="69"/>
    <w:p>
      <w:pPr>
        <w:ind w:left="1024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June 30, 2023,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8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August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0"/>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2023-08-10T16:29:47Z</dcterms:created>
  <dcterms:modified xsi:type="dcterms:W3CDTF">2023-08-10T16:29:47Z</dcterms:modified>
</cp:coreProperties>
</file>