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pPr>
      <w:r>
        <w:rPr>
          <w:rFonts w:ascii="Times New Roman;serif" w:hAnsi="Times New Roman;serif"/>
          <w:b/>
          <w:color w:val="000000"/>
          <w:sz w:val="32"/>
        </w:rPr>
        <w:t>Form</w:t>
      </w:r>
      <w:r>
        <w:rPr>
          <w:color w:val="000000"/>
        </w:rPr>
        <w:t xml:space="preserve"> </w:t>
      </w:r>
      <w:r>
        <w:rPr>
          <w:rFonts w:ascii="Times New Roman;serif" w:hAnsi="Times New Roman;serif"/>
          <w:b/>
          <w:color w:val="000000"/>
          <w:sz w:val="32"/>
        </w:rPr>
        <w:t>10-Q</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001-37761</w:t>
      </w:r>
    </w:p>
    <w:p>
      <w:pPr>
        <w:pStyle w:val="TextBody"/>
        <w:bidi w:val="0"/>
        <w:spacing w:lineRule="auto" w:line="288" w:before="200" w:after="283"/>
        <w:jc w:val="center"/>
        <w:rPr>
          <w:rFonts w:ascii="Times New Roman;serif" w:hAnsi="Times New Roman;serif"/>
          <w:b/>
          <w:color w:val="000000"/>
          <w:sz w:val="44"/>
        </w:rPr>
      </w:pPr>
      <w:r>
        <w:rPr>
          <w:rFonts w:ascii="Times New Roman;serif" w:hAnsi="Times New Roman;serif"/>
          <w:b/>
          <w:color w:val="000000"/>
          <w:sz w:val="4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4334" w:type="dxa"/>
        <w:jc w:val="left"/>
        <w:tblInd w:w="0" w:type="dxa"/>
        <w:tblLayout w:type="fixed"/>
        <w:tblCellMar>
          <w:top w:w="28" w:type="dxa"/>
          <w:left w:w="28" w:type="dxa"/>
          <w:bottom w:w="28" w:type="dxa"/>
          <w:right w:w="28" w:type="dxa"/>
        </w:tblCellMar>
      </w:tblPr>
      <w:tblGrid>
        <w:gridCol w:w="964"/>
        <w:gridCol w:w="849"/>
        <w:gridCol w:w="856"/>
        <w:gridCol w:w="487"/>
        <w:gridCol w:w="487"/>
        <w:gridCol w:w="691"/>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20-5093315</w:t>
            </w:r>
          </w:p>
        </w:tc>
      </w:tr>
      <w:tr>
        <w:trPr/>
        <w:tc>
          <w:tcPr>
            <w:tcW w:w="26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 or organization)</w:t>
            </w:r>
          </w:p>
        </w:tc>
        <w:tc>
          <w:tcPr>
            <w:tcW w:w="16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(I.R.S. Employer</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(650) 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February 11, 2026, 39,620,317 shares of the registrant’s common stock, $0.001 par value,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21" w:type="dxa"/>
        <w:jc w:val="center"/>
        <w:tblInd w:w="0" w:type="dxa"/>
        <w:tblLayout w:type="fixed"/>
        <w:tblCellMar>
          <w:top w:w="28" w:type="dxa"/>
          <w:left w:w="28" w:type="dxa"/>
          <w:bottom w:w="28" w:type="dxa"/>
          <w:right w:w="28" w:type="dxa"/>
        </w:tblCellMar>
      </w:tblPr>
      <w:tblGrid>
        <w:gridCol w:w="2891"/>
        <w:gridCol w:w="2539"/>
        <w:gridCol w:w="2550"/>
        <w:gridCol w:w="158"/>
        <w:gridCol w:w="158"/>
        <w:gridCol w:w="225"/>
      </w:tblGrid>
      <w:tr>
        <w:trPr/>
        <w:tc>
          <w:tcPr>
            <w:tcW w:w="2891"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10">
              <w:r>
                <w:rPr>
                  <w:rStyle w:val="InternetLink"/>
                  <w:rFonts w:ascii="Times New Roman;serif" w:hAnsi="Times New Roman;serif"/>
                  <w:b/>
                  <w:strike w:val="false"/>
                  <w:dstrike w:val="false"/>
                  <w:color w:val="000000"/>
                  <w:sz w:val="20"/>
                  <w:u w:val="none"/>
                  <w:effect w:val="none"/>
                </w:rPr>
                <w:t>PART I. FINANCIAL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13">
              <w:r>
                <w:rPr>
                  <w:rStyle w:val="InternetLink"/>
                  <w:rFonts w:ascii="Times New Roman;serif" w:hAnsi="Times New Roman;serif"/>
                  <w:b w:val="false"/>
                  <w:strike w:val="false"/>
                  <w:dstrike w:val="false"/>
                  <w:color w:val="000000"/>
                  <w:sz w:val="20"/>
                  <w:u w:val="none"/>
                  <w:effect w:val="none"/>
                </w:rPr>
                <w:t>Item 1. Condensed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13">
              <w:r>
                <w:rPr>
                  <w:rStyle w:val="InternetLink"/>
                  <w:rFonts w:ascii="Times New Roman;serif" w:hAnsi="Times New Roman;serif"/>
                  <w:b w:val="false"/>
                  <w:strike w:val="false"/>
                  <w:dstrike w:val="false"/>
                  <w:color w:val="000000"/>
                  <w:sz w:val="20"/>
                  <w:u w:val="none"/>
                  <w:effect w:val="none"/>
                </w:rPr>
                <w:t>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16">
              <w:r>
                <w:rPr>
                  <w:rStyle w:val="InternetLink"/>
                  <w:rFonts w:ascii="Times New Roman;serif" w:hAnsi="Times New Roman;serif"/>
                  <w:b w:val="false"/>
                  <w:strike w:val="false"/>
                  <w:dstrike w:val="false"/>
                  <w:color w:val="000000"/>
                  <w:sz w:val="20"/>
                  <w:u w:val="none"/>
                  <w:effect w:val="none"/>
                </w:rPr>
                <w:t>Condensed 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16">
              <w:r>
                <w:rPr>
                  <w:rStyle w:val="InternetLink"/>
                  <w:rFonts w:ascii="Times New Roman;serif" w:hAnsi="Times New Roman;serif"/>
                  <w:b w:val="false"/>
                  <w:strike w:val="false"/>
                  <w:dstrike w:val="false"/>
                  <w:color w:val="000000"/>
                  <w:sz w:val="20"/>
                  <w:u w:val="none"/>
                  <w:effect w:val="none"/>
                </w:rPr>
                <w:t>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19">
              <w:r>
                <w:rPr>
                  <w:rStyle w:val="InternetLink"/>
                  <w:rFonts w:ascii="Times New Roman;serif" w:hAnsi="Times New Roman;serif"/>
                  <w:b w:val="false"/>
                  <w:strike w:val="false"/>
                  <w:dstrike w:val="false"/>
                  <w:color w:val="000000"/>
                  <w:sz w:val="20"/>
                  <w:u w:val="none"/>
                  <w:effect w:val="none"/>
                </w:rPr>
                <w:t>Condensed Consolidated Statements of Operations and Comprehensive Loss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19">
              <w:r>
                <w:rPr>
                  <w:rStyle w:val="InternetLink"/>
                  <w:rFonts w:ascii="Times New Roman;serif" w:hAnsi="Times New Roman;serif"/>
                  <w:b w:val="false"/>
                  <w:strike w:val="false"/>
                  <w:dstrike w:val="false"/>
                  <w:color w:val="000000"/>
                  <w:sz w:val="20"/>
                  <w:u w:val="none"/>
                  <w:effect w:val="none"/>
                </w:rPr>
                <w:t>2</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22">
              <w:r>
                <w:rPr>
                  <w:rStyle w:val="InternetLink"/>
                  <w:rFonts w:ascii="Times New Roman;serif" w:hAnsi="Times New Roman;serif"/>
                  <w:b w:val="false"/>
                  <w:strike w:val="false"/>
                  <w:dstrike w:val="false"/>
                  <w:color w:val="000000"/>
                  <w:sz w:val="20"/>
                  <w:u w:val="none"/>
                  <w:effect w:val="none"/>
                </w:rPr>
                <w:t>Condensed Consolidated Statements of Changes in Stockholders’ Equity</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22">
              <w:r>
                <w:rPr>
                  <w:rStyle w:val="InternetLink"/>
                  <w:rFonts w:ascii="Times New Roman;serif" w:hAnsi="Times New Roman;serif"/>
                  <w:b w:val="false"/>
                  <w:strike w:val="false"/>
                  <w:dstrike w:val="false"/>
                  <w:color w:val="000000"/>
                  <w:sz w:val="20"/>
                  <w:u w:val="none"/>
                  <w:effect w:val="none"/>
                </w:rPr>
                <w:t>3</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25">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25">
              <w:r>
                <w:rPr>
                  <w:rStyle w:val="InternetLink"/>
                  <w:rFonts w:ascii="Times New Roman;serif" w:hAnsi="Times New Roman;serif"/>
                  <w:b w:val="false"/>
                  <w:strike w:val="false"/>
                  <w:dstrike w:val="false"/>
                  <w:color w:val="000000"/>
                  <w:sz w:val="20"/>
                  <w:u w:val="none"/>
                  <w:effect w:val="none"/>
                </w:rPr>
                <w:t>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28">
              <w:r>
                <w:rPr>
                  <w:rStyle w:val="InternetLink"/>
                  <w:rFonts w:ascii="Times New Roman;serif" w:hAnsi="Times New Roman;serif"/>
                  <w:b w:val="false"/>
                  <w:strike w:val="false"/>
                  <w:dstrike w:val="false"/>
                  <w:color w:val="000000"/>
                  <w:sz w:val="20"/>
                  <w:u w:val="none"/>
                  <w:effect w:val="none"/>
                </w:rPr>
                <w:t>Notes to the Condensed Consolidated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28">
              <w:r>
                <w:rPr>
                  <w:rStyle w:val="InternetLink"/>
                  <w:rFonts w:ascii="Times New Roman;serif" w:hAnsi="Times New Roman;serif"/>
                  <w:b w:val="false"/>
                  <w:strike w:val="false"/>
                  <w:dstrike w:val="false"/>
                  <w:color w:val="000000"/>
                  <w:sz w:val="20"/>
                  <w:u w:val="none"/>
                  <w:effect w:val="none"/>
                </w:rPr>
                <w:t>6</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61">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61">
              <w:r>
                <w:rPr>
                  <w:rStyle w:val="InternetLink"/>
                  <w:rFonts w:ascii="Times New Roman;serif" w:hAnsi="Times New Roman;serif"/>
                  <w:b w:val="false"/>
                  <w:strike w:val="false"/>
                  <w:dstrike w:val="false"/>
                  <w:color w:val="000000"/>
                  <w:sz w:val="20"/>
                  <w:u w:val="none"/>
                  <w:effect w:val="none"/>
                </w:rPr>
                <w:t>16</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91">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91">
              <w:r>
                <w:rPr>
                  <w:rStyle w:val="InternetLink"/>
                  <w:rFonts w:ascii="Times New Roman;serif" w:hAnsi="Times New Roman;serif"/>
                  <w:b w:val="false"/>
                  <w:strike w:val="false"/>
                  <w:dstrike w:val="false"/>
                  <w:color w:val="000000"/>
                  <w:sz w:val="20"/>
                  <w:u w:val="none"/>
                  <w:effect w:val="none"/>
                </w:rPr>
                <w:t>29</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94">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94">
              <w:r>
                <w:rPr>
                  <w:rStyle w:val="InternetLink"/>
                  <w:rFonts w:ascii="Times New Roman;serif" w:hAnsi="Times New Roman;serif"/>
                  <w:b w:val="false"/>
                  <w:strike w:val="false"/>
                  <w:dstrike w:val="false"/>
                  <w:color w:val="000000"/>
                  <w:sz w:val="20"/>
                  <w:u w:val="none"/>
                  <w:effect w:val="none"/>
                </w:rPr>
                <w:t>29</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97">
              <w:r>
                <w:rPr>
                  <w:rStyle w:val="InternetLink"/>
                  <w:rFonts w:ascii="Times New Roman;serif" w:hAnsi="Times New Roman;serif"/>
                  <w:b/>
                  <w:strike w:val="false"/>
                  <w:dstrike w:val="false"/>
                  <w:color w:val="000000"/>
                  <w:sz w:val="20"/>
                  <w:u w:val="none"/>
                  <w:effect w:val="none"/>
                </w:rPr>
                <w:t>PART II. 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100">
              <w:r>
                <w:rPr>
                  <w:rStyle w:val="InternetLink"/>
                  <w:rFonts w:ascii="Times New Roman;serif" w:hAnsi="Times New Roman;serif"/>
                  <w:b w:val="false"/>
                  <w:strike w:val="false"/>
                  <w:dstrike w:val="false"/>
                  <w:color w:val="000000"/>
                  <w:sz w:val="20"/>
                  <w:u w:val="none"/>
                  <w:effect w:val="none"/>
                </w:rPr>
                <w:t>Item 1. Legal Proceedings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100">
              <w:r>
                <w:rPr>
                  <w:rStyle w:val="InternetLink"/>
                  <w:rFonts w:ascii="Times New Roman;serif" w:hAnsi="Times New Roman;serif"/>
                  <w:b w:val="false"/>
                  <w:strike w:val="false"/>
                  <w:dstrike w:val="false"/>
                  <w:color w:val="000000"/>
                  <w:sz w:val="20"/>
                  <w:u w:val="none"/>
                  <w:effect w:val="none"/>
                </w:rPr>
                <w:t>30</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103">
              <w:r>
                <w:rPr>
                  <w:rStyle w:val="InternetLink"/>
                  <w:rFonts w:ascii="Times New Roman;serif" w:hAnsi="Times New Roman;serif"/>
                  <w:b w:val="false"/>
                  <w:strike w:val="false"/>
                  <w:dstrike w:val="false"/>
                  <w:color w:val="000000"/>
                  <w:sz w:val="20"/>
                  <w:u w:val="none"/>
                  <w:effect w:val="none"/>
                </w:rPr>
                <w:t>Item 1A. 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103">
              <w:r>
                <w:rPr>
                  <w:rStyle w:val="InternetLink"/>
                  <w:rFonts w:ascii="Times New Roman;serif" w:hAnsi="Times New Roman;serif"/>
                  <w:b w:val="false"/>
                  <w:strike w:val="false"/>
                  <w:dstrike w:val="false"/>
                  <w:color w:val="000000"/>
                  <w:sz w:val="20"/>
                  <w:u w:val="none"/>
                  <w:effect w:val="none"/>
                </w:rPr>
                <w:t>30</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106">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106">
              <w:r>
                <w:rPr>
                  <w:rStyle w:val="InternetLink"/>
                  <w:rFonts w:ascii="Times New Roman;serif" w:hAnsi="Times New Roman;serif"/>
                  <w:b w:val="false"/>
                  <w:strike w:val="false"/>
                  <w:dstrike w:val="false"/>
                  <w:color w:val="000000"/>
                  <w:sz w:val="20"/>
                  <w:u w:val="none"/>
                  <w:effect w:val="none"/>
                </w:rPr>
                <w:t>83</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109">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109">
              <w:r>
                <w:rPr>
                  <w:rStyle w:val="InternetLink"/>
                  <w:rFonts w:ascii="Times New Roman;serif" w:hAnsi="Times New Roman;serif"/>
                  <w:b w:val="false"/>
                  <w:strike w:val="false"/>
                  <w:dstrike w:val="false"/>
                  <w:color w:val="000000"/>
                  <w:sz w:val="20"/>
                  <w:u w:val="none"/>
                  <w:effect w:val="none"/>
                </w:rPr>
                <w:t>83</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112">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112">
              <w:r>
                <w:rPr>
                  <w:rStyle w:val="InternetLink"/>
                  <w:rFonts w:ascii="Times New Roman;serif" w:hAnsi="Times New Roman;serif"/>
                  <w:b w:val="false"/>
                  <w:strike w:val="false"/>
                  <w:dstrike w:val="false"/>
                  <w:color w:val="000000"/>
                  <w:sz w:val="20"/>
                  <w:u w:val="none"/>
                  <w:effect w:val="none"/>
                </w:rPr>
                <w:t>83</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115">
              <w:r>
                <w:rPr>
                  <w:rStyle w:val="InternetLink"/>
                  <w:rFonts w:ascii="Times New Roman;serif" w:hAnsi="Times New Roman;serif"/>
                  <w:b w:val="false"/>
                  <w:strike w:val="false"/>
                  <w:dstrike w:val="false"/>
                  <w:color w:val="000000"/>
                  <w:sz w:val="20"/>
                  <w:u w:val="none"/>
                  <w:effect w:val="none"/>
                </w:rPr>
                <w:t>Item 5. 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115">
              <w:r>
                <w:rPr>
                  <w:rStyle w:val="InternetLink"/>
                  <w:rFonts w:ascii="Times New Roman;serif" w:hAnsi="Times New Roman;serif"/>
                  <w:b w:val="false"/>
                  <w:strike w:val="false"/>
                  <w:dstrike w:val="false"/>
                  <w:color w:val="000000"/>
                  <w:sz w:val="20"/>
                  <w:u w:val="none"/>
                  <w:effect w:val="none"/>
                </w:rPr>
                <w:t>83</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118">
              <w:r>
                <w:rPr>
                  <w:rStyle w:val="InternetLink"/>
                  <w:rFonts w:ascii="Times New Roman;serif" w:hAnsi="Times New Roman;serif"/>
                  <w:b w:val="false"/>
                  <w:strike w:val="false"/>
                  <w:dstrike w:val="false"/>
                  <w:color w:val="000000"/>
                  <w:sz w:val="20"/>
                  <w:u w:val="none"/>
                  <w:effect w:val="none"/>
                </w:rPr>
                <w:t>Item 6. Exhibits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118">
              <w:r>
                <w:rPr>
                  <w:rStyle w:val="InternetLink"/>
                  <w:rFonts w:ascii="Times New Roman;serif" w:hAnsi="Times New Roman;serif"/>
                  <w:b w:val="false"/>
                  <w:strike w:val="false"/>
                  <w:dstrike w:val="false"/>
                  <w:color w:val="000000"/>
                  <w:sz w:val="20"/>
                  <w:u w:val="none"/>
                  <w:effect w:val="none"/>
                </w:rPr>
                <w:t>83</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d120facb23e4b2fae4a71826cb4c81c_121">
              <w:r>
                <w:rPr>
                  <w:rStyle w:val="InternetLink"/>
                  <w:rFonts w:ascii="Times New Roman;serif" w:hAnsi="Times New Roman;serif"/>
                  <w:b w:val="false"/>
                  <w:strike w:val="false"/>
                  <w:dstrike w:val="false"/>
                  <w:color w:val="000000"/>
                  <w:sz w:val="20"/>
                  <w:u w:val="none"/>
                  <w:effect w:val="none"/>
                </w:rPr>
                <w:t>SIGNATURES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d120facb23e4b2fae4a71826cb4c81c_121">
              <w:r>
                <w:rPr>
                  <w:rStyle w:val="InternetLink"/>
                  <w:rFonts w:ascii="Times New Roman;serif" w:hAnsi="Times New Roman;serif"/>
                  <w:b w:val="false"/>
                  <w:strike w:val="false"/>
                  <w:dstrike w:val="false"/>
                  <w:color w:val="000000"/>
                  <w:sz w:val="20"/>
                  <w:u w:val="none"/>
                  <w:effect w:val="none"/>
                </w:rPr>
                <w:t>84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Item</w:t>
      </w:r>
      <w:r>
        <w:rPr>
          <w:color w:val="000000"/>
        </w:rPr>
        <w:t xml:space="preserve"> </w:t>
      </w:r>
      <w:r>
        <w:rPr>
          <w:rFonts w:ascii="Times New Roman;serif" w:hAnsi="Times New Roman;serif"/>
          <w:b/>
          <w:color w:val="000000"/>
          <w:sz w:val="20"/>
        </w:rPr>
        <w:t>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931"/>
        <w:gridCol w:w="2393"/>
        <w:gridCol w:w="2336"/>
        <w:gridCol w:w="228"/>
        <w:gridCol w:w="782"/>
        <w:gridCol w:w="118"/>
        <w:gridCol w:w="109"/>
        <w:gridCol w:w="109"/>
        <w:gridCol w:w="109"/>
        <w:gridCol w:w="211"/>
        <w:gridCol w:w="721"/>
        <w:gridCol w:w="158"/>
      </w:tblGrid>
      <w:tr>
        <w:trPr/>
        <w:tc>
          <w:tcPr>
            <w:tcW w:w="2931"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w:t>
              <w:br/>
              <w:t>2025</w:t>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63,245 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82,076 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 operating lease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65,056 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84,341 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LIABILITIES AND STOCKHOLDERS</w:t>
            </w:r>
            <w:r>
              <w:rPr>
                <w:color w:val="000000"/>
              </w:rPr>
              <w:t xml:space="preserve">’ </w:t>
            </w:r>
            <w:r>
              <w:rPr>
                <w:rFonts w:ascii="Times New Roman;serif" w:hAnsi="Times New Roman;serif"/>
                <w:b/>
                <w:color w:val="000000"/>
                <w:sz w:val="20"/>
              </w:rPr>
              <w:t>EQUITY</w:t>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current portion</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 current portion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non-current portion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 non-current portion</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14,136 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at December 31, 2025 and March 31, 2025; no shares outstanding at December 31, 2025 and March 31, 2025</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325,000,000 shares authorized at December 31, 2025 and March 31, 2025; 39,624,839 and 29,001,481 shares issued at December 31, 2025 and March 31, 2025, respectively</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515,878 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481,956 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4,522 shares of common stock held at December 31, 2025 and March 31, 2025</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(461,043)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(407,632)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70,390 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65,056 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84,341 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759"/>
        <w:gridCol w:w="1487"/>
        <w:gridCol w:w="1506"/>
        <w:gridCol w:w="211"/>
        <w:gridCol w:w="786"/>
        <w:gridCol w:w="109"/>
        <w:gridCol w:w="109"/>
        <w:gridCol w:w="109"/>
        <w:gridCol w:w="109"/>
        <w:gridCol w:w="211"/>
        <w:gridCol w:w="786"/>
        <w:gridCol w:w="109"/>
        <w:gridCol w:w="109"/>
        <w:gridCol w:w="109"/>
        <w:gridCol w:w="109"/>
        <w:gridCol w:w="211"/>
        <w:gridCol w:w="786"/>
        <w:gridCol w:w="109"/>
        <w:gridCol w:w="109"/>
        <w:gridCol w:w="109"/>
        <w:gridCol w:w="109"/>
        <w:gridCol w:w="211"/>
        <w:gridCol w:w="786"/>
        <w:gridCol w:w="157"/>
      </w:tblGrid>
      <w:tr>
        <w:trPr/>
        <w:tc>
          <w:tcPr>
            <w:tcW w:w="175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w:t>
              <w:br/>
              <w:t>December 31,</w:t>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(41,478)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(37,776)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(37,783)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w:t>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(37,772)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1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42,234,405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30,711,872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36,655,195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30,649,384</w:t>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pPr>
      <w:r>
        <w:rPr>
          <w:rFonts w:ascii="Times New Roman;serif" w:hAnsi="Times New Roman;serif"/>
          <w:b/>
          <w:color w:val="000000"/>
          <w:sz w:val="20"/>
        </w:rPr>
        <w:t>CONDENSED CONSOLIDATED STATEMENTS OF CHANGES IN STOCKHOLDERS</w:t>
      </w:r>
      <w:r>
        <w:rPr>
          <w:color w:val="000000"/>
        </w:rPr>
        <w:t xml:space="preserve">’ </w:t>
      </w:r>
      <w:r>
        <w:rPr>
          <w:rFonts w:ascii="Times New Roman;serif" w:hAnsi="Times New Roman;serif"/>
          <w:b/>
          <w:color w:val="000000"/>
          <w:sz w:val="20"/>
        </w:rPr>
        <w:t xml:space="preserve">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303" w:type="dxa"/>
        <w:jc w:val="center"/>
        <w:tblInd w:w="0" w:type="dxa"/>
        <w:tblLayout w:type="fixed"/>
        <w:tblCellMar>
          <w:top w:w="28" w:type="dxa"/>
          <w:left w:w="28" w:type="dxa"/>
          <w:bottom w:w="28" w:type="dxa"/>
          <w:right w:w="28" w:type="dxa"/>
        </w:tblCellMar>
      </w:tblPr>
      <w:tblGrid>
        <w:gridCol w:w="925"/>
        <w:gridCol w:w="220"/>
        <w:gridCol w:w="221"/>
        <w:gridCol w:w="323"/>
        <w:gridCol w:w="323"/>
        <w:gridCol w:w="308"/>
        <w:gridCol w:w="109"/>
        <w:gridCol w:w="109"/>
        <w:gridCol w:w="109"/>
        <w:gridCol w:w="212"/>
        <w:gridCol w:w="359"/>
        <w:gridCol w:w="120"/>
        <w:gridCol w:w="109"/>
        <w:gridCol w:w="109"/>
        <w:gridCol w:w="109"/>
        <w:gridCol w:w="196"/>
        <w:gridCol w:w="736"/>
        <w:gridCol w:w="109"/>
        <w:gridCol w:w="109"/>
        <w:gridCol w:w="109"/>
        <w:gridCol w:w="109"/>
        <w:gridCol w:w="196"/>
        <w:gridCol w:w="571"/>
        <w:gridCol w:w="109"/>
        <w:gridCol w:w="109"/>
        <w:gridCol w:w="109"/>
        <w:gridCol w:w="109"/>
        <w:gridCol w:w="335"/>
        <w:gridCol w:w="694"/>
        <w:gridCol w:w="187"/>
        <w:gridCol w:w="109"/>
        <w:gridCol w:w="109"/>
        <w:gridCol w:w="109"/>
        <w:gridCol w:w="196"/>
        <w:gridCol w:w="751"/>
        <w:gridCol w:w="109"/>
        <w:gridCol w:w="109"/>
        <w:gridCol w:w="109"/>
        <w:gridCol w:w="109"/>
        <w:gridCol w:w="205"/>
        <w:gridCol w:w="773"/>
        <w:gridCol w:w="163"/>
      </w:tblGrid>
      <w:tr>
        <w:trPr/>
        <w:tc>
          <w:tcPr>
            <w:tcW w:w="9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Treasury</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March 31, 2024</w:t>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27,029,731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(356,214)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114,286 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Sale of common stock pursuant to 2019 Employee Stock Purchase Plan</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 available-for-sale, net</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(10,733)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June 30, 2024</w:t>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27,059,629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475,689 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(366,947)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104,803 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 available-for-sale,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(12,961)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27,059,629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476,801 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(379,908)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92,974 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Sale of common stock pursuant to 2019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44,906 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 available-for-sale, net</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Open Market Sale Agreement, net of issuance costs</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428,322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Pre-Funded Warrants</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788,359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(14,089)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9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28,321,216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479,048 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(393,997)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81,122 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100" w:after="283"/>
        <w:jc w:val="center"/>
        <w:rPr/>
      </w:pPr>
      <w:r>
        <w:rPr/>
      </w:r>
    </w:p>
    <w:tbl>
      <w:tblPr>
        <w:tblW w:w="10558" w:type="dxa"/>
        <w:jc w:val="center"/>
        <w:tblInd w:w="0" w:type="dxa"/>
        <w:tblLayout w:type="fixed"/>
        <w:tblCellMar>
          <w:top w:w="28" w:type="dxa"/>
          <w:left w:w="28" w:type="dxa"/>
          <w:bottom w:w="28" w:type="dxa"/>
          <w:right w:w="28" w:type="dxa"/>
        </w:tblCellMar>
      </w:tblPr>
      <w:tblGrid>
        <w:gridCol w:w="925"/>
        <w:gridCol w:w="220"/>
        <w:gridCol w:w="221"/>
        <w:gridCol w:w="480"/>
        <w:gridCol w:w="481"/>
        <w:gridCol w:w="308"/>
        <w:gridCol w:w="109"/>
        <w:gridCol w:w="109"/>
        <w:gridCol w:w="109"/>
        <w:gridCol w:w="212"/>
        <w:gridCol w:w="359"/>
        <w:gridCol w:w="120"/>
        <w:gridCol w:w="109"/>
        <w:gridCol w:w="109"/>
        <w:gridCol w:w="109"/>
        <w:gridCol w:w="196"/>
        <w:gridCol w:w="736"/>
        <w:gridCol w:w="109"/>
        <w:gridCol w:w="109"/>
        <w:gridCol w:w="109"/>
        <w:gridCol w:w="109"/>
        <w:gridCol w:w="196"/>
        <w:gridCol w:w="571"/>
        <w:gridCol w:w="109"/>
        <w:gridCol w:w="109"/>
        <w:gridCol w:w="109"/>
        <w:gridCol w:w="109"/>
        <w:gridCol w:w="374"/>
        <w:gridCol w:w="632"/>
        <w:gridCol w:w="210"/>
        <w:gridCol w:w="109"/>
        <w:gridCol w:w="109"/>
        <w:gridCol w:w="109"/>
        <w:gridCol w:w="196"/>
        <w:gridCol w:w="751"/>
        <w:gridCol w:w="109"/>
        <w:gridCol w:w="109"/>
        <w:gridCol w:w="109"/>
        <w:gridCol w:w="109"/>
        <w:gridCol w:w="212"/>
        <w:gridCol w:w="701"/>
        <w:gridCol w:w="168"/>
      </w:tblGrid>
      <w:tr>
        <w:trPr/>
        <w:tc>
          <w:tcPr>
            <w:tcW w:w="9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Treasury</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Equity </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29,001,481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481,956 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(407,632)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70,390 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Sale of common stock pursuant to 2019 Employee Stock Purchase Plan</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Open Market Sale Agreement, net of issuance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190,067 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 available-for-sale, net</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(15,095)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29,286,585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483,430 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(422,727)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56,765 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1,096</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Open Market Sale Agreement, net of issuance costs</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9,608,772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27,882</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 available-for-sale, net</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(19,417)</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38,895,568 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512,398 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(442,144)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66,339 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1,096</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Sale of common stock pursuant to 2019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122,747 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 available-for-sale,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Open Market Sale Agreement, net of issuance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604,405 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(18,899)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39,624,839 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515,878 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(461,043)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50,920 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64"/>
        <w:gridCol w:w="2413"/>
        <w:gridCol w:w="2430"/>
        <w:gridCol w:w="211"/>
        <w:gridCol w:w="792"/>
        <w:gridCol w:w="109"/>
        <w:gridCol w:w="109"/>
        <w:gridCol w:w="109"/>
        <w:gridCol w:w="109"/>
        <w:gridCol w:w="211"/>
        <w:gridCol w:w="792"/>
        <w:gridCol w:w="156"/>
      </w:tblGrid>
      <w:tr>
        <w:trPr/>
        <w:tc>
          <w:tcPr>
            <w:tcW w:w="2764"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w:t>
              <w:br/>
              <w:t>December 31,</w:t>
            </w:r>
          </w:p>
        </w:tc>
      </w:tr>
      <w:tr>
        <w:trPr/>
        <w:tc>
          <w:tcPr>
            <w:tcW w:w="7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marketable securities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deferred contract acquisition costs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(32,035)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laboratory and other equipment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common stock under Open Market Sale Agreement, net of offering costs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common stock under 2019 Employee Stock Purchase Plan</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note payable for insurance policy</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option exercises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notes payable</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(44,451)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Description of Business</w:t>
      </w:r>
    </w:p>
    <w:p>
      <w:pPr>
        <w:pStyle w:val="TextBody"/>
        <w:bidi w:val="0"/>
        <w:spacing w:lineRule="auto" w:line="268" w:before="0" w:after="0"/>
        <w:jc w:val="both"/>
        <w:rPr/>
      </w:pPr>
      <w:r>
        <w:rPr>
          <w:rFonts w:ascii="Times New Roman;serif" w:hAnsi="Times New Roman;serif"/>
          <w:b w:val="false"/>
          <w:color w:val="000000"/>
          <w:sz w:val="20"/>
        </w:rPr>
        <w:t>Vistagen Therapeutics, Inc., a Nevada corporation (</w:t>
      </w:r>
      <w:r>
        <w:rPr>
          <w:rFonts w:ascii="Times New Roman;serif" w:hAnsi="Times New Roman;serif"/>
          <w:b w:val="false"/>
          <w:i/>
          <w:color w:val="000000"/>
          <w:sz w:val="20"/>
        </w:rPr>
        <w:t>Vistagen, the Company, we, our, or us</w:t>
      </w:r>
      <w:r>
        <w:rPr>
          <w:rFonts w:ascii="Times New Roman;serif" w:hAnsi="Times New Roman;serif"/>
          <w:b w:val="false"/>
          <w:color w:val="000000"/>
          <w:sz w:val="20"/>
        </w:rPr>
        <w:t>), is a late clinical-stage biopharmaceutical company leveraging a deep understanding of nose-to-brain neurocircuitry to develop and potentially commercialize a new class of non-systemic intranasal product candidates called pherines. Our clinical-stage neuroscience pipeline currently consists of five clinical-stage pherine product candidates, each with a novel proposed mechanism of action (</w:t>
      </w:r>
      <w:r>
        <w:rPr>
          <w:rFonts w:ascii="Times New Roman;serif" w:hAnsi="Times New Roman;serif"/>
          <w:b w:val="false"/>
          <w:i/>
          <w:color w:val="000000"/>
          <w:sz w:val="20"/>
        </w:rPr>
        <w:t>MOA</w:t>
      </w:r>
      <w:r>
        <w:rPr>
          <w:rFonts w:ascii="Times New Roman;serif" w:hAnsi="Times New Roman;serif"/>
          <w:b w:val="false"/>
          <w:color w:val="000000"/>
          <w:sz w:val="20"/>
        </w:rPr>
        <w:t>) and at least one positive clinical study involving our targeted patient population. Pherines rapidly, specifically and selectively bind to peripheral receptors in human nasal chemosensory neurons, and are designed to rapidly activate nose-to-brain neurocircuits believed to regulate brain areas without requiring systemic absorption or uptake into the brain to achieve desired therapeutic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2.</w:t>
      </w:r>
      <w:r>
        <w:rPr>
          <w:color w:val="000000"/>
        </w:rPr>
        <w:t xml:space="preserve"> </w:t>
      </w:r>
      <w:r>
        <w:rPr>
          <w:rFonts w:ascii="Times New Roman;serif" w:hAnsi="Times New Roman;serif"/>
          <w:b/>
          <w:color w:val="000000"/>
          <w:sz w:val="20"/>
        </w:rPr>
        <w:t>Basis of Presentation, Principles of Consolidation and Summary of Significant Accounting Policies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00" w:after="200"/>
        <w:jc w:val="both"/>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of America (</w:t>
      </w:r>
      <w:r>
        <w:rPr>
          <w:rFonts w:ascii="Times New Roman;serif" w:hAnsi="Times New Roman;serif"/>
          <w:b w:val="false"/>
          <w:i/>
          <w:color w:val="000000"/>
          <w:sz w:val="20"/>
        </w:rPr>
        <w:t>U.S. GAAP</w:t>
      </w:r>
      <w:r>
        <w:rPr>
          <w:rFonts w:ascii="Times New Roman;serif" w:hAnsi="Times New Roman;serif"/>
          <w:b w:val="false"/>
          <w:color w:val="000000"/>
          <w:sz w:val="20"/>
        </w:rPr>
        <w:t>) applicable to interim financial information and pursuant to the instructions of the Securities and Exchange Commission (</w:t>
      </w:r>
      <w:r>
        <w:rPr>
          <w:rFonts w:ascii="Times New Roman;serif" w:hAnsi="Times New Roman;serif"/>
          <w:b w:val="false"/>
          <w:i/>
          <w:color w:val="000000"/>
          <w:sz w:val="20"/>
        </w:rPr>
        <w:t>SEC</w:t>
      </w:r>
      <w:r>
        <w:rPr>
          <w:rFonts w:ascii="Times New Roman;serif" w:hAnsi="Times New Roman;serif"/>
          <w:b w:val="false"/>
          <w:color w:val="000000"/>
          <w:sz w:val="20"/>
        </w:rPr>
        <w:t>) on Form 10-Q and Rule 10-01 of Regulation S-X. Accordingly, they do not include all of the information and footnotes required by U.S. GAAP for complete financial statements. Further, the results of our operations for any interim periods are not necessarily indicative of the results that may be expected for any other interim period or the full fiscal year. In the opinion of management, all normal and recurring adjustments considered necessary for a fair presentation have been included. The condensed consolidated balance sheet at March 31, 2025, has been derived from our audited consolidated financial statements but does not include all disclosures required by U.S. GAAP. Because all of the disclosures required by U.S. GAAP for complete financial statements are not included herein, these unaudited condensed consolidated financial statements and the accompanying notes should be read in conjunction with the Company’s Annual Report on Form 10-K for the year ended March 31, 2025 (</w:t>
      </w:r>
      <w:r>
        <w:rPr>
          <w:rFonts w:ascii="Times New Roman;serif" w:hAnsi="Times New Roman;serif"/>
          <w:b w:val="false"/>
          <w:i/>
          <w:color w:val="000000"/>
          <w:sz w:val="20"/>
        </w:rPr>
        <w:t>Annual Report</w:t>
      </w:r>
      <w:r>
        <w:rPr>
          <w:rFonts w:ascii="Times New Roman;serif" w:hAnsi="Times New Roman;serif"/>
          <w:b w:val="false"/>
          <w:color w:val="000000"/>
          <w:sz w:val="20"/>
        </w:rPr>
        <w:t>), filed with the SEC on June 17, 2025.</w:t>
      </w:r>
    </w:p>
    <w:p>
      <w:pPr>
        <w:pStyle w:val="TextBody"/>
        <w:bidi w:val="0"/>
        <w:spacing w:lineRule="auto" w:line="288" w:before="0" w:after="0"/>
        <w:jc w:val="both"/>
        <w:rPr/>
      </w:pPr>
      <w:r>
        <w:rPr>
          <w:rFonts w:ascii="Times New Roman;serif" w:hAnsi="Times New Roman;serif"/>
          <w:b w:val="false"/>
          <w:color w:val="000000"/>
          <w:sz w:val="20"/>
        </w:rPr>
        <w:t>Any reference in these notes to applicable guidance is meant to refer to U.S. GAAP as found in the Accounting Standards Codification (</w:t>
      </w:r>
      <w:r>
        <w:rPr>
          <w:rFonts w:ascii="Times New Roman;serif" w:hAnsi="Times New Roman;serif"/>
          <w:b w:val="false"/>
          <w:i/>
          <w:color w:val="000000"/>
          <w:sz w:val="20"/>
        </w:rPr>
        <w:t>ASC</w:t>
      </w:r>
      <w:r>
        <w:rPr>
          <w:rFonts w:ascii="Times New Roman;serif" w:hAnsi="Times New Roman;serif"/>
          <w:b w:val="false"/>
          <w:color w:val="000000"/>
          <w:sz w:val="20"/>
        </w:rPr>
        <w:t>) and Accounting Standards Updates (</w:t>
      </w:r>
      <w:r>
        <w:rPr>
          <w:rFonts w:ascii="Times New Roman;serif" w:hAnsi="Times New Roman;serif"/>
          <w:b w:val="false"/>
          <w:i/>
          <w:color w:val="000000"/>
          <w:sz w:val="20"/>
        </w:rPr>
        <w:t>ASU</w:t>
      </w:r>
      <w:r>
        <w:rPr>
          <w:rFonts w:ascii="Times New Roman;serif" w:hAnsi="Times New Roman;serif"/>
          <w:b w:val="false"/>
          <w:color w:val="000000"/>
          <w:sz w:val="20"/>
        </w:rPr>
        <w:t>) promulgated by the Financial Accounting Standards Board (</w:t>
      </w:r>
      <w:r>
        <w:rPr>
          <w:rFonts w:ascii="Times New Roman;serif" w:hAnsi="Times New Roman;serif"/>
          <w:b w:val="false"/>
          <w:i/>
          <w:color w:val="000000"/>
          <w:sz w:val="20"/>
        </w:rPr>
        <w:t>FASB</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Vistagen and its subsidiaries. All intercompany accounts and transactions have been eliminated in consolidation.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order to complete the development of our neuroscience product candidates and to expand our infrastructure and operations in a manner we believe will be necessary to commercialize our product candidates, if approved, on our own or with one or more collaborators, we will require substantial additional capital. Until we can generate a sufficient amount of revenue from the commercialization of our product candidates, we will seek to raise any necessary additional capital through equity and/or debt financings, loans or other capital sources, which could include income from collaborations, partnerships or other marketing, distribution, licensing or other strategic arrangements with third parties. Because of the numerous risks and uncertainties associated with research, development and commercialization of our product candidates, we are unable to estimate the exact amount and timing of our capital requirements. We do not expect to generate any meaningful revenue unless and until we obtain regulatory approval of and commercialize any of our product candidates, and we do not know when, or if, that will occur.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incurred significant losses and negative cash flows from operations since inception. As of December 31, 2025, we had an accumulated deficit of $461.0 million, and cash used in operations for the nine months ended December 31, 2025 was $50.2 million. We expect that our operating losses and negative cash flows will continue for the foreseeable future as we continue to develop and, if approved, commercialize our product candidates.</w:t>
      </w:r>
    </w:p>
    <w:p>
      <w:pPr>
        <w:pStyle w:val="TextBody"/>
        <w:bidi w:val="0"/>
        <w:spacing w:lineRule="auto" w:line="288" w:before="200" w:after="283"/>
        <w:jc w:val="both"/>
        <w:rPr/>
      </w:pPr>
      <w:r>
        <w:rPr>
          <w:rFonts w:ascii="Times New Roman;serif" w:hAnsi="Times New Roman;serif"/>
          <w:b w:val="false"/>
          <w:color w:val="000000"/>
          <w:sz w:val="20"/>
        </w:rPr>
        <w:t>In accordance with Accounting Standards Codification (</w:t>
      </w:r>
      <w:r>
        <w:rPr>
          <w:rFonts w:ascii="Times New Roman;serif" w:hAnsi="Times New Roman;serif"/>
          <w:b w:val="false"/>
          <w:i/>
          <w:color w:val="000000"/>
          <w:sz w:val="20"/>
        </w:rPr>
        <w:t>ASC</w:t>
      </w:r>
      <w:r>
        <w:rPr>
          <w:rFonts w:ascii="Times New Roman;serif" w:hAnsi="Times New Roman;serif"/>
          <w:b w:val="false"/>
          <w:color w:val="000000"/>
          <w:sz w:val="20"/>
        </w:rPr>
        <w:t xml:space="preserve">) 205-40, Going Concern, we evaluated whether there are conditions and events, considered in the aggregate, that raise substantial doubt about our ability to continue as a going concern within one year from the date these consolidated financial statements in this Report are issued. This evaluation initially does not take into consideration the potential mitigating effects of management’s plans that have not yet been 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implemented as of the date the consolidated financial statements are issued. When substantial doubt exists under this methodology, management evaluates whether the mitigating effects of its plans sufficiently alleviates substantial doubt about our ability to continue as a going concern. The mitigating effects of management’s plans, however, are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 In performing its analysis, management excluded certain elements of its operating plan that cannot be considered probable. Under ASC 205-40, the future receipt of potential funding from future equity and/or debt issuances and other potential sources such as partnerships cannot be considered probable at this time because these plans are not entirely within our control nor have these plans been approved by the Board as of the date of these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cash, cash equivalents, and marketable securities of $61.8 million. As of February 12, 2026, the issuance date of the condensed consolidated financial statements as of and for the three and nine months ended December 31, 2025 in this Report, there is uncertainty about whether our combined cash, cash equivalents, and marketable securities will be sufficient to fund operations beyond twelve months from the issuance date of these condensed consolidated financial statements and therefore we concluded that substantial doubt exists about our ability to continue as a going concern.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When necessary and/or advantageous, we will seek additional capital to fund our planned operations through (i) sales of our equity and/or debt securities in one or more public offerings and/or private placements, including, but not limited to sales of our securities under our Open Market Sale Agreement with Jefferies LLC, (ii) non-dilutive government grants and research awards and/or (iii) non-dilutive strategic partnering collaborations to advance development and commercialization of one or more of our product candidates. However, no assurance can be provided that any such sales of our securities, awards, agreements or collaborations will occur in the future. While we may make additional sales of our equity and/or debt securities, we do not have an obligation to do so.</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working capital requirements will depend on many factors, including, without limitation, potential impacts related to adjustments in the size of our staff or other actual and/or planned adjustments to our operations, the scope and nature of opportunities related to our success or failure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nonclinical and clinical development of our product candidates, as well as support our operating activities, we plan to seek additional financing, including both equity-based and/or debt-based capital and potentially from non-dilutive sources other than debt-based capital, and continue to carefully manage our operating costs, including, but not limited to, our clinical and nonclinical programs.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There can be no assurance that future financings will be available to us in sufficient amounts, in a timely manner, or on terms acceptable to us, if at all, or that any current or future development and commercialization collaborations will generate revenue from future potential milestone payments or otherwise. Further, on February 3, 2026</w:t>
      </w:r>
      <w:r>
        <w:rPr>
          <w:rFonts w:ascii="Times New Roman;serif" w:hAnsi="Times New Roman;serif"/>
          <w:b w:val="false"/>
          <w:i/>
          <w:color w:val="000000"/>
          <w:sz w:val="20"/>
        </w:rPr>
        <w:t xml:space="preserve">, </w:t>
      </w:r>
      <w:r>
        <w:rPr>
          <w:rFonts w:ascii="Times New Roman;serif" w:hAnsi="Times New Roman;serif"/>
          <w:b w:val="false"/>
          <w:color w:val="000000"/>
          <w:sz w:val="20"/>
        </w:rPr>
        <w:t>we received a letter from the Listing Qualifications Staff of The Nasdaq Stock Market, LLC (</w:t>
      </w:r>
      <w:r>
        <w:rPr>
          <w:rFonts w:ascii="Times New Roman;serif" w:hAnsi="Times New Roman;serif"/>
          <w:b w:val="false"/>
          <w:i/>
          <w:color w:val="000000"/>
          <w:sz w:val="20"/>
        </w:rPr>
        <w:t>Nasdaq</w:t>
      </w:r>
      <w:r>
        <w:rPr>
          <w:rFonts w:ascii="Times New Roman;serif" w:hAnsi="Times New Roman;serif"/>
          <w:b w:val="false"/>
          <w:color w:val="000000"/>
          <w:sz w:val="20"/>
        </w:rPr>
        <w:t>) indicating that, based upon the closing bid price of our common stock for the previous 30 consecutive business days, we are not currently in compliance with the requirement to maintain a minimum bid price of $1.00 per share for continued listing on the Nasdaq Capital Market. While the letter has no immediate effect on the listing of our common stock on the Nasdaq Capital Market, failure to meet applicable Nasdaq continued listing standards by August 3, 2026</w:t>
      </w:r>
      <w:r>
        <w:rPr>
          <w:rFonts w:ascii="Times New Roman;serif" w:hAnsi="Times New Roman;serif"/>
          <w:b w:val="false"/>
          <w:i/>
          <w:color w:val="000000"/>
          <w:sz w:val="20"/>
        </w:rPr>
        <w:t xml:space="preserve">, </w:t>
      </w:r>
      <w:r>
        <w:rPr>
          <w:rFonts w:ascii="Times New Roman;serif" w:hAnsi="Times New Roman;serif"/>
          <w:b w:val="false"/>
          <w:color w:val="000000"/>
          <w:sz w:val="20"/>
        </w:rPr>
        <w:t>the expiration of the 180-day period in which to regain compliance, unless extended, could potentially result in a delisting of our common stock, which could materially reduce the liquidity of our common stock, result in a further reduction in the price of our common stock, require us to implement our stockholder-authorized reverse stock split to maintain our listing, and/or impair our ability to raise capital through alternative financing sources on terms acceptable to us, or at all. If we do not regain compliance by August 3, 2026, an additional 180 days may be granted to regain compliance, so long as we meet the Nasdaq Capital Market continued listing requirements (except for the bid price requirement) and notify Nasdaq in writing of our intention to cure the deficiency during the second compliance period. If we are unable to regain timely compliance with the Nasdaq continued listing standards and/or obtain additional financing on a timely basis when needed, our business, financial condition, and results of operations may be harmed, the price of our common stock may decline, we may be required to reduce, defer, or discontinue certain of our research and development activities, and we may not be able to continue as a going concern.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made in the accompanying condensed consolidated financial statements include, but are not limited to, those relating to stock-based compensation, revenue recognition, research and development expense, determination of right-of-use assets under lease transactions and related lease obligations, and the assumptions used to value common stock purchase warrants. Although these estimates are based on our knowledge of current events, historical experiences, actions we may undertake in the future and on various other assumptions we believe are reasonable, actual results may materially differ from these estimates and assumptions.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measure cash equivalents and available-for-sale debt securities at fair value. Fair value is defined as an exit price, representing the amount that would be received to sell an asset or paid to transfer a liability in an orderly transaction between market participants. A framework is used for measuring fair value utilizing a three-tier hierarchy that prioritizes the inputs to valuation techniques used to measure fair value.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1—Unadjusted quoted prices in active markets that are accessible at the measurement date for identical, unrestricted assets or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2—Quoted prices for similar assets and liabilities in active markets, quoted prices in markets that are not active, or inputs which are observable, either directly or indirectly, for substantially the full term of the asset or liability.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3—Prices or valuation techniques that require inputs that are both significant to the fair value measurement and unobservable (i.e. supported by little or no market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Money market funds are highly liquid investments and are classified as Level 1. The pricing information for these assets is readily available and can be independently validated as of the measurement date. Available-for-sale debt securities are valued using observable inputs from similar assets, or from observable data in markets that are not active. These assets are classified as Level 2.</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Marketable securities consist of U.S. treasury securities. These securities are classified as available-for-sale,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Our marketable debt securities are classified as cash equivalents if the original maturity, from the date of purchase, is 90 days or less, and as marketable securities if the original maturity, from the date of purchase, is in excess of 90 days. Our cash equivalents are generally composed of U.S. treasury securities and money market funds. The amortized cost of available-for-sale securities reflects amortization of premiums and accretion of discounts to maturity. Premiums and discounts on debt securities are amortized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 of these investments to fund current operations, as necessary.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significant updates not already disclosed in the Company’s audited consolidated financial statements for the years ended March 31, 2025, and 2024 to the recently issued accounting standards, for the nine months ended December 31, 2025.</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Issued Accounting Pronouncements Not Yet Adopted</w:t>
      </w:r>
    </w:p>
    <w:p>
      <w:pPr>
        <w:pStyle w:val="TextBody"/>
        <w:bidi w:val="0"/>
        <w:spacing w:lineRule="auto" w:line="288" w:before="200" w:after="283"/>
        <w:jc w:val="both"/>
        <w:rPr/>
      </w:pPr>
      <w:r>
        <w:rPr>
          <w:rFonts w:ascii="Times New Roman;serif" w:hAnsi="Times New Roman;serif"/>
          <w:b w:val="false"/>
          <w:color w:val="000000"/>
          <w:sz w:val="20"/>
        </w:rPr>
        <w:t>In December 2023, the FASB issued ASU No. 2023-09, Income Taxes (</w:t>
      </w:r>
      <w:r>
        <w:rPr>
          <w:rFonts w:ascii="Times New Roman;serif" w:hAnsi="Times New Roman;serif"/>
          <w:b w:val="false"/>
          <w:i/>
          <w:color w:val="000000"/>
          <w:sz w:val="20"/>
        </w:rPr>
        <w:t>Topic 740</w:t>
      </w:r>
      <w:r>
        <w:rPr>
          <w:rFonts w:ascii="Times New Roman;serif" w:hAnsi="Times New Roman;serif"/>
          <w:b w:val="false"/>
          <w:color w:val="000000"/>
          <w:sz w:val="20"/>
        </w:rPr>
        <w:t xml:space="preserve">): Improvements to Income Tax Disclosures. ASU 2023-09 requires disaggregated information about a reporting entity’s effective tax rate reconciliation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well as information on income taxes paid. ASU 2023-09 is effective for public entities with annual periods beginning after December 15, 2024, with early adoption permitted. We are currently evaluating the impact of this guidance on our financial statements.</w:t>
      </w:r>
    </w:p>
    <w:p>
      <w:pPr>
        <w:pStyle w:val="TextBody"/>
        <w:bidi w:val="0"/>
        <w:spacing w:lineRule="auto" w:line="288" w:before="200" w:after="283"/>
        <w:jc w:val="both"/>
        <w:rPr/>
      </w:pPr>
      <w:r>
        <w:rPr>
          <w:rFonts w:ascii="Times New Roman;serif" w:hAnsi="Times New Roman;serif"/>
          <w:b w:val="false"/>
          <w:color w:val="000000"/>
          <w:sz w:val="20"/>
        </w:rPr>
        <w:t>In November 2024, the FASB issued ASU 2024-03, Income Statement—Reporting Comprehensive Income—Expense Disaggregation Disclosures (</w:t>
      </w:r>
      <w:r>
        <w:rPr>
          <w:rFonts w:ascii="Times New Roman;serif" w:hAnsi="Times New Roman;serif"/>
          <w:b w:val="false"/>
          <w:i/>
          <w:color w:val="000000"/>
          <w:sz w:val="20"/>
        </w:rPr>
        <w:t>Subtopic 220-40</w:t>
      </w:r>
      <w:r>
        <w:rPr>
          <w:rFonts w:ascii="Times New Roman;serif" w:hAnsi="Times New Roman;serif"/>
          <w:b w:val="false"/>
          <w:color w:val="000000"/>
          <w:sz w:val="20"/>
        </w:rPr>
        <w:t>): Disaggregation of Income Statement Expenses (</w:t>
      </w:r>
      <w:r>
        <w:rPr>
          <w:rFonts w:ascii="Times New Roman;serif" w:hAnsi="Times New Roman;serif"/>
          <w:b w:val="false"/>
          <w:i/>
          <w:color w:val="000000"/>
          <w:sz w:val="20"/>
        </w:rPr>
        <w:t>ASU 2024-03</w:t>
      </w:r>
      <w:r>
        <w:rPr>
          <w:rFonts w:ascii="Times New Roman;serif" w:hAnsi="Times New Roman;serif"/>
          <w:b w:val="false"/>
          <w:color w:val="000000"/>
          <w:sz w:val="20"/>
        </w:rPr>
        <w:t>), which requires disaggregated disclosure of certain expenses to provide enhanced transparency into the expense captions presented on the face of the income statement. ASU 2024-03 is effective for annual periods beginning after December 15, 2026, and interim periods within annual reporting periods beginning after December 15, 2027, with early adoption permitted. ASU 2024-03 may be adopted on a prospective or retrospective basis. We are currently evaluating the impact of this guidance on our financial statements.</w:t>
      </w:r>
    </w:p>
    <w:p>
      <w:pPr>
        <w:pStyle w:val="TextBody"/>
        <w:bidi w:val="0"/>
        <w:spacing w:lineRule="auto" w:line="288" w:before="200" w:after="283"/>
        <w:jc w:val="both"/>
        <w:rPr/>
      </w:pPr>
      <w:r>
        <w:rPr>
          <w:rFonts w:ascii="Times New Roman;serif" w:hAnsi="Times New Roman;serif"/>
          <w:b w:val="false"/>
          <w:color w:val="000000"/>
          <w:sz w:val="20"/>
        </w:rPr>
        <w:t>In September 2025, the FASB issued ASU 2025-06, Intangibles — Goodwill and Other Internal-Use Software (</w:t>
      </w:r>
      <w:r>
        <w:rPr>
          <w:rFonts w:ascii="Times New Roman;serif" w:hAnsi="Times New Roman;serif"/>
          <w:b w:val="false"/>
          <w:i/>
          <w:color w:val="000000"/>
          <w:sz w:val="20"/>
        </w:rPr>
        <w:t>Subtopic 350-40</w:t>
      </w:r>
      <w:r>
        <w:rPr>
          <w:rFonts w:ascii="Times New Roman;serif" w:hAnsi="Times New Roman;serif"/>
          <w:b w:val="false"/>
          <w:color w:val="000000"/>
          <w:sz w:val="20"/>
        </w:rPr>
        <w:t>): Targeted Improvements to the Accounting for Internal-Use Software. This guidance modernizes the accounting framework for internal-use software by providing clearer criteria for capitalization, including the requirement to assess whether significant development uncertainty exists. ASU 2025-06 is effective for annual reporting periods beginning after December 15, 2027, and interim reporting periods within those annual reporting periods, with early adoption permitted. We are currently evaluating the impact of this guidance on our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 Scope Improvements, which provides clarity on the required interim disclosures under Topic 270 by providing a comprehensive list of required interim disclosures, and clarifies the applicability of Topic 270. ASU 2025-11 is effective for annual reporting periods beginning after December 15, 2027, and interim reporting periods within annual reporting periods beginning after December 15, 2028, with early adoption permitted. ASU 2025-11 may be adopted on a prospective or retrospective basis. We are currently evaluating the impact of this guidance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show our cash, cash equivalents and marketable securities at fair value as of December 31, 2025 and March 31, 2025 (in thousands):</w:t>
      </w:r>
    </w:p>
    <w:tbl>
      <w:tblPr>
        <w:tblW w:w="7775" w:type="dxa"/>
        <w:jc w:val="left"/>
        <w:tblInd w:w="0" w:type="dxa"/>
        <w:tblLayout w:type="fixed"/>
        <w:tblCellMar>
          <w:top w:w="28" w:type="dxa"/>
          <w:left w:w="28" w:type="dxa"/>
          <w:bottom w:w="28" w:type="dxa"/>
          <w:right w:w="28" w:type="dxa"/>
        </w:tblCellMar>
      </w:tblPr>
      <w:tblGrid>
        <w:gridCol w:w="927"/>
        <w:gridCol w:w="815"/>
        <w:gridCol w:w="823"/>
        <w:gridCol w:w="109"/>
        <w:gridCol w:w="109"/>
        <w:gridCol w:w="109"/>
        <w:gridCol w:w="211"/>
        <w:gridCol w:w="721"/>
        <w:gridCol w:w="109"/>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75" w:type="dxa"/>
        <w:jc w:val="left"/>
        <w:tblInd w:w="0" w:type="dxa"/>
        <w:tblLayout w:type="fixed"/>
        <w:tblCellMar>
          <w:top w:w="28" w:type="dxa"/>
          <w:left w:w="28" w:type="dxa"/>
          <w:bottom w:w="28" w:type="dxa"/>
          <w:right w:w="28" w:type="dxa"/>
        </w:tblCellMar>
      </w:tblPr>
      <w:tblGrid>
        <w:gridCol w:w="927"/>
        <w:gridCol w:w="815"/>
        <w:gridCol w:w="823"/>
        <w:gridCol w:w="109"/>
        <w:gridCol w:w="109"/>
        <w:gridCol w:w="109"/>
        <w:gridCol w:w="211"/>
        <w:gridCol w:w="721"/>
        <w:gridCol w:w="109"/>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carrying amounts of our prepaid expenses and other current assets, accounts payable, accrued expenses, and the note payable approximate fair value due to their short maturities. We had no financial liabilities measured at fair value on a recurring basis at December 31, 2025 or March 31, 2025. There were no transfers between Levels 1, 2 or 3 for any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We did not record any impairment charges related to our marketable debt securities during the three and nine months ended December 31, 2025 or 2024.</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summarizes our marketable securities as of December 31, 2025 and March 31, 2025 (in thousands):</w:t>
      </w:r>
    </w:p>
    <w:p>
      <w:pPr>
        <w:pStyle w:val="TextBody"/>
        <w:bidi w:val="0"/>
        <w:spacing w:before="20" w:after="283"/>
        <w:jc w:val="left"/>
        <w:rPr/>
      </w:pPr>
      <w:r>
        <w:rPr/>
      </w:r>
    </w:p>
    <w:tbl>
      <w:tblPr>
        <w:tblW w:w="10205" w:type="dxa"/>
        <w:jc w:val="left"/>
        <w:tblInd w:w="0" w:type="dxa"/>
        <w:tblLayout w:type="fixed"/>
        <w:tblCellMar>
          <w:top w:w="28" w:type="dxa"/>
          <w:left w:w="28" w:type="dxa"/>
          <w:bottom w:w="28" w:type="dxa"/>
          <w:right w:w="28" w:type="dxa"/>
        </w:tblCellMar>
      </w:tblPr>
      <w:tblGrid>
        <w:gridCol w:w="571"/>
        <w:gridCol w:w="503"/>
        <w:gridCol w:w="505"/>
        <w:gridCol w:w="555"/>
        <w:gridCol w:w="555"/>
        <w:gridCol w:w="557"/>
        <w:gridCol w:w="109"/>
        <w:gridCol w:w="109"/>
        <w:gridCol w:w="109"/>
        <w:gridCol w:w="285"/>
        <w:gridCol w:w="974"/>
        <w:gridCol w:w="147"/>
        <w:gridCol w:w="109"/>
        <w:gridCol w:w="109"/>
        <w:gridCol w:w="109"/>
        <w:gridCol w:w="478"/>
        <w:gridCol w:w="821"/>
        <w:gridCol w:w="249"/>
        <w:gridCol w:w="109"/>
        <w:gridCol w:w="109"/>
        <w:gridCol w:w="109"/>
        <w:gridCol w:w="466"/>
        <w:gridCol w:w="898"/>
        <w:gridCol w:w="241"/>
        <w:gridCol w:w="109"/>
        <w:gridCol w:w="109"/>
        <w:gridCol w:w="109"/>
        <w:gridCol w:w="211"/>
        <w:gridCol w:w="721"/>
        <w:gridCol w:w="160"/>
      </w:tblGrid>
      <w:tr>
        <w:trPr/>
        <w:tc>
          <w:tcPr>
            <w:tcW w:w="5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tbl>
      <w:tblPr>
        <w:tblW w:w="10205" w:type="dxa"/>
        <w:jc w:val="left"/>
        <w:tblInd w:w="0" w:type="dxa"/>
        <w:tblLayout w:type="fixed"/>
        <w:tblCellMar>
          <w:top w:w="28" w:type="dxa"/>
          <w:left w:w="28" w:type="dxa"/>
          <w:bottom w:w="28" w:type="dxa"/>
          <w:right w:w="28" w:type="dxa"/>
        </w:tblCellMar>
      </w:tblPr>
      <w:tblGrid>
        <w:gridCol w:w="571"/>
        <w:gridCol w:w="503"/>
        <w:gridCol w:w="505"/>
        <w:gridCol w:w="555"/>
        <w:gridCol w:w="555"/>
        <w:gridCol w:w="557"/>
        <w:gridCol w:w="109"/>
        <w:gridCol w:w="109"/>
        <w:gridCol w:w="109"/>
        <w:gridCol w:w="285"/>
        <w:gridCol w:w="974"/>
        <w:gridCol w:w="147"/>
        <w:gridCol w:w="109"/>
        <w:gridCol w:w="109"/>
        <w:gridCol w:w="109"/>
        <w:gridCol w:w="566"/>
        <w:gridCol w:w="687"/>
        <w:gridCol w:w="294"/>
        <w:gridCol w:w="109"/>
        <w:gridCol w:w="109"/>
        <w:gridCol w:w="109"/>
        <w:gridCol w:w="466"/>
        <w:gridCol w:w="898"/>
        <w:gridCol w:w="241"/>
        <w:gridCol w:w="109"/>
        <w:gridCol w:w="109"/>
        <w:gridCol w:w="109"/>
        <w:gridCol w:w="211"/>
        <w:gridCol w:w="721"/>
        <w:gridCol w:w="161"/>
      </w:tblGrid>
      <w:tr>
        <w:trPr/>
        <w:tc>
          <w:tcPr>
            <w:tcW w:w="5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4. Notes Payable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May 2025, we executed a 6.54% promissory note in the principal amount of $1.0 million in connection with certain insurance policy premiums. The note is payable in monthly installments of approximately $0.1 million, including principal and interest, through April 2026. As of December 31, 2025, the outstanding balance related to the premium financing was $0.4 million. Interest accrued related to the premium financing arrangement was immaterial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5.</w:t>
      </w:r>
      <w:r>
        <w:rPr>
          <w:color w:val="000000"/>
        </w:rPr>
        <w:t xml:space="preserve"> </w:t>
      </w:r>
      <w:r>
        <w:rPr>
          <w:rFonts w:ascii="Times New Roman;serif" w:hAnsi="Times New Roman;serif"/>
          <w:b/>
          <w:color w:val="000000"/>
          <w:sz w:val="20"/>
        </w:rPr>
        <w:t>Capital Stock</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October 2023 Public Offering</w:t>
      </w:r>
    </w:p>
    <w:p>
      <w:pPr>
        <w:pStyle w:val="TextBody"/>
        <w:bidi w:val="0"/>
        <w:spacing w:lineRule="auto" w:line="288" w:before="200" w:after="283"/>
        <w:jc w:val="both"/>
        <w:rPr/>
      </w:pPr>
      <w:r>
        <w:rPr>
          <w:rFonts w:ascii="Times New Roman;serif" w:hAnsi="Times New Roman;serif"/>
          <w:b w:val="false"/>
          <w:color w:val="000000"/>
          <w:sz w:val="20"/>
        </w:rPr>
        <w:t>On October 2, 2023</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we completed an underwritten public offering (the </w:t>
      </w:r>
      <w:r>
        <w:rPr>
          <w:rFonts w:ascii="Times New Roman;serif" w:hAnsi="Times New Roman;serif"/>
          <w:b w:val="false"/>
          <w:i/>
          <w:color w:val="000000"/>
          <w:sz w:val="20"/>
        </w:rPr>
        <w:t>October 2023</w:t>
      </w:r>
      <w:r>
        <w:rPr>
          <w:color w:val="000000"/>
        </w:rPr>
        <w:t xml:space="preserve"> </w:t>
      </w:r>
      <w:r>
        <w:rPr>
          <w:rFonts w:ascii="Times New Roman;serif" w:hAnsi="Times New Roman;serif"/>
          <w:b w:val="false"/>
          <w:i/>
          <w:color w:val="000000"/>
          <w:sz w:val="20"/>
        </w:rPr>
        <w:t>Public</w:t>
      </w:r>
      <w:r>
        <w:rPr>
          <w:color w:val="000000"/>
        </w:rPr>
        <w:t xml:space="preserve"> </w:t>
      </w:r>
      <w:r>
        <w:rPr>
          <w:rFonts w:ascii="Times New Roman;serif" w:hAnsi="Times New Roman;serif"/>
          <w:b w:val="false"/>
          <w:i/>
          <w:color w:val="000000"/>
          <w:sz w:val="20"/>
        </w:rPr>
        <w:t>Offering</w:t>
      </w:r>
      <w:r>
        <w:rPr>
          <w:rFonts w:ascii="Times New Roman;serif" w:hAnsi="Times New Roman;serif"/>
          <w:b w:val="false"/>
          <w:color w:val="000000"/>
          <w:sz w:val="20"/>
        </w:rPr>
        <w:t xml:space="preserve">), whereby we offered and sold, for gross proceeds of approximately $100 million, a total of 15,010,810 shares of our common stock and a total of 3,577,240 pre-funded warrants to purchase up to 3,577,240 shares of common stock (the </w:t>
      </w:r>
      <w:r>
        <w:rPr>
          <w:rFonts w:ascii="Times New Roman;serif" w:hAnsi="Times New Roman;serif"/>
          <w:b w:val="false"/>
          <w:i/>
          <w:color w:val="000000"/>
          <w:sz w:val="20"/>
        </w:rPr>
        <w:t>Pre-Funded Warrants</w:t>
      </w:r>
      <w:r>
        <w:rPr>
          <w:rFonts w:ascii="Times New Roman;serif" w:hAnsi="Times New Roman;serif"/>
          <w:b w:val="false"/>
          <w:color w:val="000000"/>
          <w:sz w:val="20"/>
        </w:rPr>
        <w:t xml:space="preserve">). Each share of common stock and each Pre-Funded Warrant was issued together with a ratably allocated portion of warrants to purchase up to 9,294,022 shares of common stock with an exercise price of $5.38 per share (the </w:t>
      </w:r>
      <w:r>
        <w:rPr>
          <w:rFonts w:ascii="Times New Roman;serif" w:hAnsi="Times New Roman;serif"/>
          <w:b w:val="false"/>
          <w:i/>
          <w:color w:val="000000"/>
          <w:sz w:val="20"/>
        </w:rPr>
        <w:t>T1</w:t>
      </w:r>
      <w:r>
        <w:rPr>
          <w:color w:val="000000"/>
        </w:rPr>
        <w:t xml:space="preserve"> </w:t>
      </w:r>
      <w:r>
        <w:rPr>
          <w:rFonts w:ascii="Times New Roman;serif" w:hAnsi="Times New Roman;serif"/>
          <w:b w:val="false"/>
          <w:i/>
          <w:color w:val="000000"/>
          <w:sz w:val="20"/>
        </w:rPr>
        <w:t>Warrants</w:t>
      </w:r>
      <w:r>
        <w:rPr>
          <w:rFonts w:ascii="Times New Roman;serif" w:hAnsi="Times New Roman;serif"/>
          <w:b w:val="false"/>
          <w:color w:val="000000"/>
          <w:sz w:val="20"/>
        </w:rPr>
        <w:t xml:space="preserve">) and warrants to purchase 11,265,086 shares of common stock with an exercise price of $8.877 per share (the </w:t>
      </w:r>
      <w:r>
        <w:rPr>
          <w:rFonts w:ascii="Times New Roman;serif" w:hAnsi="Times New Roman;serif"/>
          <w:b w:val="false"/>
          <w:i/>
          <w:color w:val="000000"/>
          <w:sz w:val="20"/>
        </w:rPr>
        <w:t>T2</w:t>
      </w:r>
      <w:r>
        <w:rPr>
          <w:color w:val="000000"/>
        </w:rPr>
        <w:t xml:space="preserve"> </w:t>
      </w:r>
      <w:r>
        <w:rPr>
          <w:rFonts w:ascii="Times New Roman;serif" w:hAnsi="Times New Roman;serif"/>
          <w:b w:val="false"/>
          <w:i/>
          <w:color w:val="000000"/>
          <w:sz w:val="20"/>
        </w:rPr>
        <w:t>Warrants</w:t>
      </w:r>
      <w:r>
        <w:rPr>
          <w:rFonts w:ascii="Times New Roman;serif" w:hAnsi="Times New Roman;serif"/>
          <w:b w:val="false"/>
          <w:color w:val="000000"/>
          <w:sz w:val="20"/>
        </w:rPr>
        <w:t>). The net proceeds to us from the October 2023 Public Offering were approximately $93.5 million, after deducting related expenses, including commissions, legal expenses and other offering costs.</w:t>
      </w:r>
    </w:p>
    <w:p>
      <w:pPr>
        <w:pStyle w:val="TextBody"/>
        <w:bidi w:val="0"/>
        <w:spacing w:lineRule="auto" w:line="288" w:before="200" w:after="283"/>
        <w:jc w:val="both"/>
        <w:rPr/>
      </w:pPr>
      <w:r>
        <w:rPr>
          <w:rFonts w:ascii="Times New Roman;serif" w:hAnsi="Times New Roman;serif"/>
          <w:b w:val="false"/>
          <w:color w:val="000000"/>
          <w:sz w:val="20"/>
        </w:rPr>
        <w:t xml:space="preserve">The Pre-Funded Warrants, T1 Warrants and T2 Warrants (collectively, the </w:t>
      </w:r>
      <w:r>
        <w:rPr>
          <w:rFonts w:ascii="Times New Roman;serif" w:hAnsi="Times New Roman;serif"/>
          <w:b w:val="false"/>
          <w:i/>
          <w:color w:val="000000"/>
          <w:sz w:val="20"/>
        </w:rPr>
        <w:t>Warrants</w:t>
      </w:r>
      <w:r>
        <w:rPr>
          <w:rFonts w:ascii="Times New Roman;serif" w:hAnsi="Times New Roman;serif"/>
          <w:b w:val="false"/>
          <w:color w:val="000000"/>
          <w:sz w:val="20"/>
        </w:rPr>
        <w:t>) are fully exercisable, only at the option of the holder. Holders may also exercise the T1 Warrants and T2 Warrants for Pre-Funded Warrants at their option. We may not effect the exercise of any Warrants, and a holder will not be entitled to exercise any portion of any of the Warrants, which, upon giving effect to such exercise, would cause the aggregate number of shares of common stock beneficially owned by the holder of such Warrant (together with its affiliates) to exceed 9.99% of the number of shares of common stock outstanding immediately after giving effect to the exercise. However, any holder may increase or decrease such percentage to any other percentage (not to exceed 19.99% if exceeding such percentage would result in a change of control under Nasdaq Listing Rule 5636(b) or any successor rule) upon at least 61 days’ prior notice from the holder to us subject to the terms of the respective Warrant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evaluated the terms of the Warrants issued and determined that they should be classified as equity instruments within additional paid-in capital. The Warrants are equity classified because they (i) are freestanding financial instruments that are legally detachable and separately exercisable from the other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Warrants do not provide any guarantee of value or return.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Open Market Sale Agreement</w:t>
      </w:r>
    </w:p>
    <w:p>
      <w:pPr>
        <w:pStyle w:val="TextBody"/>
        <w:bidi w:val="0"/>
        <w:spacing w:lineRule="auto" w:line="288" w:before="0" w:after="0"/>
        <w:jc w:val="both"/>
        <w:rPr/>
      </w:pPr>
      <w:r>
        <w:rPr>
          <w:rFonts w:ascii="Times New Roman;serif" w:hAnsi="Times New Roman;serif"/>
          <w:b w:val="false"/>
          <w:color w:val="000000"/>
          <w:sz w:val="20"/>
        </w:rPr>
        <w:t xml:space="preserve">In May 2021, we entered into an Open Market Sale Agreement (the </w:t>
      </w:r>
      <w:r>
        <w:rPr>
          <w:rFonts w:ascii="Times New Roman;serif" w:hAnsi="Times New Roman;serif"/>
          <w:b w:val="false"/>
          <w:i/>
          <w:color w:val="000000"/>
          <w:sz w:val="20"/>
        </w:rPr>
        <w:t>Sales Agreement</w:t>
      </w:r>
      <w:r>
        <w:rPr>
          <w:rFonts w:ascii="Times New Roman;serif" w:hAnsi="Times New Roman;serif"/>
          <w:b w:val="false"/>
          <w:color w:val="000000"/>
          <w:sz w:val="20"/>
        </w:rPr>
        <w:t>) with Jefferies LLC (</w:t>
      </w:r>
      <w:r>
        <w:rPr>
          <w:rFonts w:ascii="Times New Roman;serif" w:hAnsi="Times New Roman;serif"/>
          <w:b w:val="false"/>
          <w:i/>
          <w:color w:val="000000"/>
          <w:sz w:val="20"/>
        </w:rPr>
        <w:t>Jefferies</w:t>
      </w:r>
      <w:r>
        <w:rPr>
          <w:rFonts w:ascii="Times New Roman;serif" w:hAnsi="Times New Roman;serif"/>
          <w:b w:val="false"/>
          <w:color w:val="000000"/>
          <w:sz w:val="20"/>
        </w:rPr>
        <w:t>) as sales agent, with respect to an at-the-market offering program under which we were permitted, at our option, to offer and sell, from time to time, shares of our common stock having an aggregate offering price of up to $75.0 million. In February 2024, the aggregate offering price available under the Sales Agreement was increased to up to $100 million, and in June 2025, the aggregate offering price available under the Sales Agreement was increased to up to $175 million. As of December 31, 2025, shares of common stock with an aggregate offering price of approximately $140.5 million remained available for offer and sale under the Sales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December 31, 2025, we sold 604,405 and 10,403,244 shares of our common stock in at-the-market transactions under the Sales Agreement, resulting in net cash proceeds of approximately $2.3 million and $30.6 million after sales agent commissions, respectively. During the three and nine months ended December 31, 2024, we sold 428,322 shares under the Sales Agreement, resulting in net cash proceeds of approximately $1.1 million, after sales agent commissions. We pay Jefferies a commission of up to three percent (3.0%) of the aggregate gross proceeds from any sales under the Sales Agreement.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the following common stock warrants were outstanding:</w:t>
      </w:r>
    </w:p>
    <w:tbl>
      <w:tblPr>
        <w:tblW w:w="5529" w:type="dxa"/>
        <w:jc w:val="left"/>
        <w:tblInd w:w="0" w:type="dxa"/>
        <w:tblLayout w:type="fixed"/>
        <w:tblCellMar>
          <w:top w:w="28" w:type="dxa"/>
          <w:left w:w="28" w:type="dxa"/>
          <w:bottom w:w="28" w:type="dxa"/>
          <w:right w:w="28" w:type="dxa"/>
        </w:tblCellMar>
      </w:tblPr>
      <w:tblGrid>
        <w:gridCol w:w="890"/>
        <w:gridCol w:w="783"/>
        <w:gridCol w:w="787"/>
        <w:gridCol w:w="109"/>
        <w:gridCol w:w="109"/>
        <w:gridCol w:w="109"/>
        <w:gridCol w:w="444"/>
        <w:gridCol w:w="444"/>
        <w:gridCol w:w="446"/>
        <w:gridCol w:w="109"/>
        <w:gridCol w:w="109"/>
        <w:gridCol w:w="109"/>
        <w:gridCol w:w="316"/>
        <w:gridCol w:w="316"/>
        <w:gridCol w:w="449"/>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Number of Common Shares</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Underlying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Exercise Price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Expiration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2,788,620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9,294,022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11,265,086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10/4/2028</w:t>
            </w:r>
          </w:p>
        </w:tc>
      </w:tr>
    </w:tbl>
    <w:p>
      <w:pPr>
        <w:pStyle w:val="TextBody"/>
        <w:bidi w:val="0"/>
        <w:spacing w:lineRule="auto" w:line="288" w:before="2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(a)The warrants will expire 60 days after the later of (i) the date on which the Company first publicly discloses, whether by press release or Current Report on Form 8-K, the top-line results of its PALISADE-3 Phase 3 clinical trial and (ii) the date on which the Company first publicly discloses, whether by press release or Current Report on Form 8-K, the top-line results of its PALISADE-4 Phase 3 clinical trial.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 average exercise price of all outstanding warrants at December 31, 2025 is $6.42 per share. No outstanding warrant is subject to any down-round anti-dilution protection feature. All outstanding warrants are exercisable by the holders only by payment in cash of the stated exercise price per share, except the Pre-Funded Warrants and the T2 Warrants issued in connection with the October 2023 Public Offering, which may be exercised through a cashless exercise, via exchange of a portion of warrants to cover the exercise price. In October 2024, Pre-Funded Warrants to purchase 788,620 shares of common stock were exercised on a cashless basis, resulting in the issuance of 788,359 shares of common stock. In December 2024, 33,334 warrants to purchase common stock, with an exercise price of $15.00 per share, expired. In July 2025, 12,352 warrants to purchase common stock with an exercise price of $21.90 per share, expired.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6. Stock-Based Compensation</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A summary of our stock option activity for the period ended December 31, 2025 is as follows (in thousands, except share and per share data and years):</w:t>
      </w:r>
    </w:p>
    <w:tbl>
      <w:tblPr>
        <w:tblW w:w="10205" w:type="dxa"/>
        <w:jc w:val="left"/>
        <w:tblInd w:w="0" w:type="dxa"/>
        <w:tblLayout w:type="fixed"/>
        <w:tblCellMar>
          <w:top w:w="28" w:type="dxa"/>
          <w:left w:w="28" w:type="dxa"/>
          <w:bottom w:w="28" w:type="dxa"/>
          <w:right w:w="28" w:type="dxa"/>
        </w:tblCellMar>
      </w:tblPr>
      <w:tblGrid>
        <w:gridCol w:w="721"/>
        <w:gridCol w:w="633"/>
        <w:gridCol w:w="636"/>
        <w:gridCol w:w="109"/>
        <w:gridCol w:w="109"/>
        <w:gridCol w:w="109"/>
        <w:gridCol w:w="487"/>
        <w:gridCol w:w="489"/>
        <w:gridCol w:w="313"/>
        <w:gridCol w:w="109"/>
        <w:gridCol w:w="109"/>
        <w:gridCol w:w="109"/>
        <w:gridCol w:w="382"/>
        <w:gridCol w:w="1116"/>
        <w:gridCol w:w="198"/>
        <w:gridCol w:w="109"/>
        <w:gridCol w:w="109"/>
        <w:gridCol w:w="109"/>
        <w:gridCol w:w="846"/>
        <w:gridCol w:w="846"/>
        <w:gridCol w:w="848"/>
        <w:gridCol w:w="109"/>
        <w:gridCol w:w="109"/>
        <w:gridCol w:w="109"/>
        <w:gridCol w:w="376"/>
        <w:gridCol w:w="725"/>
        <w:gridCol w:w="281"/>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(2,330)</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4,856,038 </w:t>
            </w:r>
          </w:p>
        </w:tc>
        <w:tc>
          <w:tcPr>
            <w:tcW w:w="3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left"/>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stock options granted was estimated using the following assumptions:</w:t>
      </w:r>
    </w:p>
    <w:tbl>
      <w:tblPr>
        <w:tblW w:w="7609" w:type="dxa"/>
        <w:jc w:val="center"/>
        <w:tblInd w:w="0" w:type="dxa"/>
        <w:tblLayout w:type="fixed"/>
        <w:tblCellMar>
          <w:top w:w="28" w:type="dxa"/>
          <w:left w:w="28" w:type="dxa"/>
          <w:bottom w:w="28" w:type="dxa"/>
          <w:right w:w="28" w:type="dxa"/>
        </w:tblCellMar>
      </w:tblPr>
      <w:tblGrid>
        <w:gridCol w:w="990"/>
        <w:gridCol w:w="866"/>
        <w:gridCol w:w="873"/>
        <w:gridCol w:w="109"/>
        <w:gridCol w:w="109"/>
        <w:gridCol w:w="109"/>
        <w:gridCol w:w="610"/>
        <w:gridCol w:w="610"/>
        <w:gridCol w:w="610"/>
        <w:gridCol w:w="318"/>
        <w:gridCol w:w="318"/>
        <w:gridCol w:w="318"/>
        <w:gridCol w:w="518"/>
        <w:gridCol w:w="518"/>
        <w:gridCol w:w="733"/>
      </w:tblGrid>
      <w:tr>
        <w:trPr/>
        <w:tc>
          <w:tcPr>
            <w:tcW w:w="99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December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Risk-free interest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3.64% - 4.19%</w:t>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3.48% - 4.43%</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Expected term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5.27 - 6.08</w:t>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5.07 - 6.14 </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Expected stock price volatility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 xml:space="preserve">155.06% - 164.30% </w:t>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164.30% - 176.22%</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Dividend yield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for all equity awards has been included in the consolidated statements of operations and comprehensive loss as follows (in thousands):</w:t>
      </w:r>
    </w:p>
    <w:tbl>
      <w:tblPr>
        <w:tblW w:w="9843" w:type="dxa"/>
        <w:jc w:val="center"/>
        <w:tblInd w:w="0" w:type="dxa"/>
        <w:tblLayout w:type="fixed"/>
        <w:tblCellMar>
          <w:top w:w="28" w:type="dxa"/>
          <w:left w:w="28" w:type="dxa"/>
          <w:bottom w:w="28" w:type="dxa"/>
          <w:right w:w="28" w:type="dxa"/>
        </w:tblCellMar>
      </w:tblPr>
      <w:tblGrid>
        <w:gridCol w:w="1251"/>
        <w:gridCol w:w="1096"/>
        <w:gridCol w:w="1102"/>
        <w:gridCol w:w="295"/>
        <w:gridCol w:w="861"/>
        <w:gridCol w:w="152"/>
        <w:gridCol w:w="152"/>
        <w:gridCol w:w="152"/>
        <w:gridCol w:w="152"/>
        <w:gridCol w:w="295"/>
        <w:gridCol w:w="861"/>
        <w:gridCol w:w="152"/>
        <w:gridCol w:w="109"/>
        <w:gridCol w:w="109"/>
        <w:gridCol w:w="109"/>
        <w:gridCol w:w="282"/>
        <w:gridCol w:w="823"/>
        <w:gridCol w:w="145"/>
        <w:gridCol w:w="145"/>
        <w:gridCol w:w="145"/>
        <w:gridCol w:w="145"/>
        <w:gridCol w:w="282"/>
        <w:gridCol w:w="823"/>
        <w:gridCol w:w="205"/>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options granted during the nine months ended December 31, 2025 and 2024 was $2.20 and $3.49 per share, respectively. The intrinsic value of options exercised during the nine months ended December 31, 2025 was immaterial. No options were exercised during the nine months ended December 31, 2024. As of December 31, 2025, total compensation cost not yet recognized related to unvested stock options was $6.9 million, which is expected to be recognized over a weighted-average period of 2.1 years.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grants to its employees, upon approval by the Board or an authorized committee thereof, options to purchase shares of common stock as an inducement to employment in accordance with Nasdaq Listing Rule 5635(c)(4). To date, all options to purchase shares of common stock granted as inducement awards were granted outside of an existing equity incentive plan. These options are subject to terms substantially the same as the 2019 Omnibus Equity Incentive Plan. During the nine months ended December 31, 2025, the Company granted an aggregate of 300,000 options to purchase shares of common stock as an inducement to employment for newly hired executive officers.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7. Net Loss per Common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Basic net loss per common share is calculated by dividing the net loss by the weighted average number of shares of common stock outstanding for the period, without consideration for common stock equivalents. The Pre-Funded Warrants associated with the October 2023 Public Offering (see Note 5 above) are considered outstanding shares in the basic earnings per share calculation given their nominal exercise price. Dilutive common stock equivalents for the periods presented include warrants for the purchase of common stock and common stock options outstanding under the Company’s equity compensation plans. For all periods presented, there is no difference in the number of shares used to calculate basic and diluted shares outstanding due to the Company’s net loss position.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potentially dilutive securities that have been excluded from the calculation of diluted net loss per share because their inclusion would be anti-dilutive:</w:t>
      </w:r>
    </w:p>
    <w:tbl>
      <w:tblPr>
        <w:tblW w:w="10205" w:type="dxa"/>
        <w:jc w:val="center"/>
        <w:tblInd w:w="0" w:type="dxa"/>
        <w:tblLayout w:type="fixed"/>
        <w:tblCellMar>
          <w:top w:w="28" w:type="dxa"/>
          <w:left w:w="28" w:type="dxa"/>
          <w:bottom w:w="28" w:type="dxa"/>
          <w:right w:w="28" w:type="dxa"/>
        </w:tblCellMar>
      </w:tblPr>
      <w:tblGrid>
        <w:gridCol w:w="2772"/>
        <w:gridCol w:w="2432"/>
        <w:gridCol w:w="2446"/>
        <w:gridCol w:w="369"/>
        <w:gridCol w:w="369"/>
        <w:gridCol w:w="298"/>
        <w:gridCol w:w="145"/>
        <w:gridCol w:w="145"/>
        <w:gridCol w:w="145"/>
        <w:gridCol w:w="355"/>
        <w:gridCol w:w="355"/>
        <w:gridCol w:w="374"/>
      </w:tblGrid>
      <w:tr>
        <w:trPr/>
        <w:tc>
          <w:tcPr>
            <w:tcW w:w="277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7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7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options under the Company's Amended and Restated 2016 (formerly 2008) Stock Incentive Plan and Amended and Restated 2019 Omnibus Equity Incentive Plan, as amended</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4,856,038</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3,121,892</w:t>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warrants to purchase common stock</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20,559,108</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20,571,460</w:t>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25,415,146</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23,693,352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Sublicensing and Collaborative Agreements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changes in contract assets and liabilities during the nine months ended December 31, 2025. Contract acquisition costs are included as a component of other assets on our condensed consolidated balance sheets. </w:t>
      </w:r>
    </w:p>
    <w:tbl>
      <w:tblPr>
        <w:tblW w:w="9066" w:type="dxa"/>
        <w:jc w:val="left"/>
        <w:tblInd w:w="0" w:type="dxa"/>
        <w:tblLayout w:type="fixed"/>
        <w:tblCellMar>
          <w:top w:w="28" w:type="dxa"/>
          <w:left w:w="28" w:type="dxa"/>
          <w:bottom w:w="28" w:type="dxa"/>
          <w:right w:w="28" w:type="dxa"/>
        </w:tblCellMar>
      </w:tblPr>
      <w:tblGrid>
        <w:gridCol w:w="1059"/>
        <w:gridCol w:w="931"/>
        <w:gridCol w:w="935"/>
        <w:gridCol w:w="324"/>
        <w:gridCol w:w="948"/>
        <w:gridCol w:w="167"/>
        <w:gridCol w:w="109"/>
        <w:gridCol w:w="109"/>
        <w:gridCol w:w="109"/>
        <w:gridCol w:w="266"/>
        <w:gridCol w:w="512"/>
        <w:gridCol w:w="138"/>
        <w:gridCol w:w="109"/>
        <w:gridCol w:w="109"/>
        <w:gridCol w:w="109"/>
        <w:gridCol w:w="272"/>
        <w:gridCol w:w="622"/>
        <w:gridCol w:w="142"/>
        <w:gridCol w:w="109"/>
        <w:gridCol w:w="109"/>
        <w:gridCol w:w="109"/>
        <w:gridCol w:w="380"/>
        <w:gridCol w:w="1110"/>
        <w:gridCol w:w="279"/>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w:t>
              <w:br/>
              <w:t>December 31, 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AffaMed Agreement</w:t>
      </w:r>
    </w:p>
    <w:p>
      <w:pPr>
        <w:pStyle w:val="TextBody"/>
        <w:bidi w:val="0"/>
        <w:spacing w:lineRule="auto" w:line="288" w:before="200" w:after="283"/>
        <w:jc w:val="both"/>
        <w:rPr/>
      </w:pPr>
      <w:r>
        <w:rPr>
          <w:rFonts w:ascii="Times New Roman;serif" w:hAnsi="Times New Roman;serif"/>
          <w:b w:val="false"/>
          <w:color w:val="000000"/>
          <w:sz w:val="20"/>
        </w:rPr>
        <w:t xml:space="preserve">In June 2020, we entered into a license and collaboration agreement (the </w:t>
      </w:r>
      <w:r>
        <w:rPr>
          <w:rFonts w:ascii="Times New Roman;serif" w:hAnsi="Times New Roman;serif"/>
          <w:b w:val="false"/>
          <w:i/>
          <w:color w:val="000000"/>
          <w:sz w:val="20"/>
        </w:rPr>
        <w:t>AffaMed Agreement</w:t>
      </w:r>
      <w:r>
        <w:rPr>
          <w:rFonts w:ascii="Times New Roman;serif" w:hAnsi="Times New Roman;serif"/>
          <w:b w:val="false"/>
          <w:color w:val="000000"/>
          <w:sz w:val="20"/>
        </w:rPr>
        <w:t>) with EverInsight Therapeutics Inc., a company incorporated under the laws of the British Virgin Islands, now AffaMed Therapeutics, Inc. (</w:t>
      </w:r>
      <w:r>
        <w:rPr>
          <w:rFonts w:ascii="Times New Roman;serif" w:hAnsi="Times New Roman;serif"/>
          <w:b w:val="false"/>
          <w:i/>
          <w:color w:val="000000"/>
          <w:sz w:val="20"/>
        </w:rPr>
        <w:t>AffaMed</w:t>
      </w:r>
      <w:r>
        <w:rPr>
          <w:rFonts w:ascii="Times New Roman;serif" w:hAnsi="Times New Roman;serif"/>
          <w:b w:val="false"/>
          <w:color w:val="000000"/>
          <w:sz w:val="20"/>
        </w:rPr>
        <w:t>), pursuant to which we granted AffaMed an exclusive license to develop and commercialize fasedienol for social anxiety disorder (</w:t>
      </w:r>
      <w:r>
        <w:rPr>
          <w:rFonts w:ascii="Times New Roman;serif" w:hAnsi="Times New Roman;serif"/>
          <w:b w:val="false"/>
          <w:i/>
          <w:color w:val="000000"/>
          <w:sz w:val="20"/>
        </w:rPr>
        <w:t>SAD</w:t>
      </w:r>
      <w:r>
        <w:rPr>
          <w:rFonts w:ascii="Times New Roman;serif" w:hAnsi="Times New Roman;serif"/>
          <w:b w:val="false"/>
          <w:color w:val="000000"/>
          <w:sz w:val="20"/>
        </w:rPr>
        <w:t xml:space="preserve">) and potentially other anxiety-related disorders in Greater China, South Korea and Southeast Asia (which includes Indonesia, Malaysia, Philippines, Thailand and Vietnam) (collectively, </w:t>
      </w:r>
      <w:r>
        <w:rPr>
          <w:rFonts w:ascii="Times New Roman;serif" w:hAnsi="Times New Roman;serif"/>
          <w:b w:val="false"/>
          <w:i/>
          <w:color w:val="000000"/>
          <w:sz w:val="20"/>
        </w:rPr>
        <w:t>the Territory</w:t>
      </w:r>
      <w:r>
        <w:rPr>
          <w:rFonts w:ascii="Times New Roman;serif" w:hAnsi="Times New Roman;serif"/>
          <w:b w:val="false"/>
          <w:color w:val="000000"/>
          <w:sz w:val="20"/>
        </w:rPr>
        <w:t>). We retain exclusive development and commercialization rights for fasedienol in the U.S. and throughout the rest of the world outside the Territory.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responsible for pursuing clinical development and regulatory submissions of fasedienol for acute treatment of anxiety in adults with SAD, and potentially other anxiety-related indications, in the United States on a ‘‘best efforts’’ basis, with no guarantee of success. If conducted, AffaMed may participate in a Phase 3 global clinical trial of fasedienol and would assume all direct costs and expenses of conducting such clinical trial in the Territory and a portion of the indirect costs of a global trial in which they participate. We will transfer all development data (nonclinical and clinical data) and our regulatory documentation related to fasedienol throughout the term as it is developed or generated or otherwise comes into our control. We will grant to AffaMed a Right of Reference to our regulatory documentation and our development data, but retain exclusive development and commercialization rights for fasedienol in the U.S. and throughout the rest of the world outside the Territory.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AffaMed Agreement, AffaMed paid to us a non-refundable upfront license payment of $5.0 million in August 2020. Additionally, upon successful development and commercialization of fasedienol in the Territory, we are eligible to receive milestone payments of up to $172.0 million. Further, we are eligible to receive royalty payments on a country-by-country basis on net sales for the later of ten years or the expiration of market or regulatory exclusivity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jurisdiction, except that payments will be reduced on a country-by-country basis in the event there is no market exclusivity in the period. Royalty payments may also be reduced if there is a generic competitive product in the Territory in the period.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determined that we have one combined performance obligation for the license to develop and commercialize fasedienol in the Territory and related development and regulatory services. In addition, AffaMed has an option that, if exercised by AffaMed, could create manufacturing obligations for us during development upon exercise. This option for manufacturing services was evaluated and determined not to include a material right.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a royalty constraint.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revenue as the combined performance obligation is satisfied over time using an input method. Significant management judgment is required to determine the level of effort attributable to the performance obligation included in the AffaMed Agreement and the period over which we expect to complete our performance obligation. The performance period or measure of progress was estimated at the inception of the AffaMed Agreement and is re-evaluated in subsequent reporting periods. This re-evaluation may shorten or lengthen the period over which we recognize revenue.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March 31, 2025, we had short-term deferred revenue of $0.7 million and $1.3 million, respectively, and long-term deferred revenue of $0.2 million and $0.4 million, respectively, related to the AffaMed Agreement. During the three and nine months ended December 31, 2025, we recognized revenue of $0.3 million and $0.8 million, respectively, as compared to $0.2 million and $0.5 million during the three and nine months ended December 31, 2024, respectively, under the AffaMed Agreement, which was included in the deferred revenue balance at the beginning of each period. The remaining deferred revenue under the AffaMed Agreement will be recognized over the expected remaining contractual term.</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Fuji Pharma Agreement</w:t>
      </w:r>
    </w:p>
    <w:p>
      <w:pPr>
        <w:pStyle w:val="TextBody"/>
        <w:bidi w:val="0"/>
        <w:spacing w:lineRule="auto" w:line="288" w:before="0" w:after="0"/>
        <w:jc w:val="both"/>
        <w:rPr/>
      </w:pPr>
      <w:r>
        <w:rPr>
          <w:rFonts w:ascii="Times New Roman;serif" w:hAnsi="Times New Roman;serif"/>
          <w:b w:val="false"/>
          <w:color w:val="000000"/>
          <w:sz w:val="20"/>
        </w:rPr>
        <w:t xml:space="preserve">On September 1, 2023, we entered into an Exclusive Negotiation Agreement (the </w:t>
      </w:r>
      <w:r>
        <w:rPr>
          <w:rFonts w:ascii="Times New Roman;serif" w:hAnsi="Times New Roman;serif"/>
          <w:b w:val="false"/>
          <w:i/>
          <w:color w:val="000000"/>
          <w:sz w:val="20"/>
        </w:rPr>
        <w:t>Negotiation Agreement</w:t>
      </w:r>
      <w:r>
        <w:rPr>
          <w:rFonts w:ascii="Times New Roman;serif" w:hAnsi="Times New Roman;serif"/>
          <w:b w:val="false"/>
          <w:color w:val="000000"/>
          <w:sz w:val="20"/>
        </w:rPr>
        <w:t>) with Fuji Pharma Co., Ltd. (</w:t>
      </w:r>
      <w:r>
        <w:rPr>
          <w:rFonts w:ascii="Times New Roman;serif" w:hAnsi="Times New Roman;serif"/>
          <w:b w:val="false"/>
          <w:i/>
          <w:color w:val="000000"/>
          <w:sz w:val="20"/>
        </w:rPr>
        <w:t>Fuji Pharma</w:t>
      </w:r>
      <w:r>
        <w:rPr>
          <w:rFonts w:ascii="Times New Roman;serif" w:hAnsi="Times New Roman;serif"/>
          <w:b w:val="false"/>
          <w:color w:val="000000"/>
          <w:sz w:val="20"/>
        </w:rPr>
        <w:t>), a Tokyo Stock Exchange-listed, Japan-based pharmaceutical company with a significant research, development, and commercial focus on pharmacological therapies for women’s health conditions. Pursuant to the terms and conditions of the Negotiation Agreement, we agreed, for a limited period of time, to negotiate exclusively with Fuji Pharma for a potential exclusive license agreement to develop and commercialize refisolone (formerly PH80) in Japan. Refisolone, our clinical-stage pherine product candidate focused on women's health conditions, primarily the treatment of vasomotor symptoms (hot flashes) associated with menopause (the</w:t>
      </w:r>
      <w:r>
        <w:rPr>
          <w:color w:val="000000"/>
        </w:rPr>
        <w:t xml:space="preserve"> </w:t>
      </w:r>
      <w:r>
        <w:rPr>
          <w:rFonts w:ascii="Times New Roman;serif" w:hAnsi="Times New Roman;serif"/>
          <w:b w:val="false"/>
          <w:i/>
          <w:color w:val="000000"/>
          <w:sz w:val="20"/>
        </w:rPr>
        <w:t>Potential Definitive Agreement</w:t>
      </w:r>
      <w:r>
        <w:rPr>
          <w:rFonts w:ascii="Times New Roman;serif" w:hAnsi="Times New Roman;serif"/>
          <w:b w:val="false"/>
          <w:color w:val="000000"/>
          <w:sz w:val="20"/>
        </w:rPr>
        <w:t xml:space="preserve">). The Negotiation Agreement provides for an exclusive negotiation period beginning on the date of formal written notice being received by Fuji Pharma that we have selected a contract development and manufacturing organization to conduct preclinical toxicology studies for refisolone (the </w:t>
      </w:r>
      <w:r>
        <w:rPr>
          <w:rFonts w:ascii="Times New Roman;serif" w:hAnsi="Times New Roman;serif"/>
          <w:b w:val="false"/>
          <w:i/>
          <w:color w:val="000000"/>
          <w:sz w:val="20"/>
        </w:rPr>
        <w:t>Payment Event</w:t>
      </w:r>
      <w:r>
        <w:rPr>
          <w:rFonts w:ascii="Times New Roman;serif" w:hAnsi="Times New Roman;serif"/>
          <w:b w:val="false"/>
          <w:color w:val="000000"/>
          <w:sz w:val="20"/>
        </w:rPr>
        <w:t>), and terminating on the later to occur of (i) fourteen (14) months from the date of the Payment Event or (ii) ninety (90) days from the date that the U.S. Food and Drug Administration (</w:t>
      </w:r>
      <w:r>
        <w:rPr>
          <w:rFonts w:ascii="Times New Roman;serif" w:hAnsi="Times New Roman;serif"/>
          <w:b w:val="false"/>
          <w:i/>
          <w:color w:val="000000"/>
          <w:sz w:val="20"/>
        </w:rPr>
        <w:t>FDA</w:t>
      </w:r>
      <w:r>
        <w:rPr>
          <w:rFonts w:ascii="Times New Roman;serif" w:hAnsi="Times New Roman;serif"/>
          <w:b w:val="false"/>
          <w:color w:val="000000"/>
          <w:sz w:val="20"/>
        </w:rPr>
        <w:t>) accepts our refisolone Investigational New Drug (</w:t>
      </w:r>
      <w:r>
        <w:rPr>
          <w:rFonts w:ascii="Times New Roman;serif" w:hAnsi="Times New Roman;serif"/>
          <w:b w:val="false"/>
          <w:i/>
          <w:color w:val="000000"/>
          <w:sz w:val="20"/>
        </w:rPr>
        <w:t>IND</w:t>
      </w:r>
      <w:r>
        <w:rPr>
          <w:rFonts w:ascii="Times New Roman;serif" w:hAnsi="Times New Roman;serif"/>
          <w:b w:val="false"/>
          <w:color w:val="000000"/>
          <w:sz w:val="20"/>
        </w:rPr>
        <w:t>) application for clinical development of refisolone in the U.S. for the treatment of vasomotor symptoms (hot flashes) due to menopause (the</w:t>
      </w:r>
      <w:r>
        <w:rPr>
          <w:color w:val="000000"/>
        </w:rPr>
        <w:t xml:space="preserve"> </w:t>
      </w:r>
      <w:r>
        <w:rPr>
          <w:rFonts w:ascii="Times New Roman;serif" w:hAnsi="Times New Roman;serif"/>
          <w:b w:val="false"/>
          <w:i/>
          <w:color w:val="000000"/>
          <w:sz w:val="20"/>
        </w:rPr>
        <w:t>Exclusive Negotiation Period</w:t>
      </w:r>
      <w:r>
        <w:rPr>
          <w:rFonts w:ascii="Times New Roman;serif" w:hAnsi="Times New Roman;serif"/>
          <w:b w:val="false"/>
          <w:color w:val="000000"/>
          <w:sz w:val="20"/>
        </w:rPr>
        <w:t>).</w:t>
      </w:r>
    </w:p>
    <w:p>
      <w:pPr>
        <w:pStyle w:val="TextBody"/>
        <w:bidi w:val="0"/>
        <w:spacing w:lineRule="auto" w:line="288" w:before="200" w:after="283"/>
        <w:jc w:val="both"/>
        <w:rPr/>
      </w:pPr>
      <w:r>
        <w:rPr>
          <w:rFonts w:ascii="Times New Roman;serif" w:hAnsi="Times New Roman;serif"/>
          <w:b w:val="false"/>
          <w:color w:val="000000"/>
          <w:sz w:val="20"/>
        </w:rPr>
        <w:t>As consideration for the Exclusive Negotiation Period, Fuji Pharma agreed to make a payment to us of $1.5 million (</w:t>
      </w:r>
      <w:r>
        <w:rPr>
          <w:rFonts w:ascii="Times New Roman;serif" w:hAnsi="Times New Roman;serif"/>
          <w:b w:val="false"/>
          <w:i/>
          <w:color w:val="000000"/>
          <w:sz w:val="20"/>
        </w:rPr>
        <w:t>Purchase Price</w:t>
      </w:r>
      <w:r>
        <w:rPr>
          <w:rFonts w:ascii="Times New Roman;serif" w:hAnsi="Times New Roman;serif"/>
          <w:b w:val="false"/>
          <w:color w:val="000000"/>
          <w:sz w:val="20"/>
        </w:rPr>
        <w:t>), payable upon occurrence of the Payment Event. The Payment Event occurred in October 2023, and we received payment of the Purchase Price in full in November 2023. The Purchase Price is non-refundable, except upon a material breach of the Negotiation Agreement by the Company; however, should the Company and Fuji Pharma enter into the Potential Definitive Agreement, the Purchase Price will be credited against any upfront fee due in connection with the execution of such Potential Definitive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entire amount remaining unrecognized under the Negotiation Agreement of $1.3 million was classified as short term, as a component of deferred revenue, current portion, on the condensed consolidated balance sheets. During the three and nine months ended December 31, 2025 and 2024, we recognized no revenue under the Negotiation Agreement. The remaining deferred revenue under the Negotiation Agreement will be recognized upon termination of the Exclusive Negotiation Period, or accounted for as a creditable prepayment under ASC 606, should an exclusive license agreement be reached with Fuji Pharma prior to the date of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color w:val="000000"/>
          <w:sz w:val="20"/>
        </w:rPr>
        <w:t>9.</w:t>
      </w:r>
      <w:r>
        <w:rPr>
          <w:color w:val="000000"/>
        </w:rPr>
        <w:t xml:space="preserve"> </w:t>
      </w:r>
      <w:r>
        <w:rPr>
          <w:rFonts w:ascii="Times New Roman;serif" w:hAnsi="Times New Roman;serif"/>
          <w:b/>
          <w:color w:val="000000"/>
          <w:sz w:val="20"/>
        </w:rPr>
        <w:t xml:space="preserve">Related Party Transactions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August 2023, in connection with his retirement, we entered into a consulting agreement with our former Chief Financial Officer, Jerrold D. Dotson, to assist in transition matters related to the employment of our new Chief Financial Officer. Pursuant to the agreement, Mr. Dotson received an initial payment of $100,000 and $10,000 per month from September 2023 through August 2024. In August 2024, the agreement was amended to extend the expiration date to March 31, 2025, and subsequently amended to extend the expiration to March 31, 2026. During the three and nine months ended December 31, 2025 and 2024, we recorded expense under the consulting agreement of $30,000 and $90,000,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68" w:before="0" w:after="0"/>
        <w:jc w:val="both"/>
        <w:rPr/>
      </w:pPr>
      <w:r>
        <w:rPr>
          <w:rFonts w:ascii="Times New Roman;serif" w:hAnsi="Times New Roman;serif"/>
          <w:b w:val="false"/>
          <w:color w:val="000000"/>
          <w:sz w:val="20"/>
        </w:rPr>
        <w:t xml:space="preserve">From time to time, we may be party to litigation, arbitration or other legal proceedings in the course of our business. Currently, we are party to a civil action filed against the Company and our Board of Directors, certain of our executive officers, professional services and financial advisors, and industry analysts in the United States District Court for the Northern District of California (Case No. 4:25-cv-01510) on February 13, 2025, by two purported stockholders, filed </w:t>
      </w:r>
      <w:r>
        <w:rPr>
          <w:rFonts w:ascii="Times New Roman;serif" w:hAnsi="Times New Roman;serif"/>
          <w:b w:val="false"/>
          <w:i/>
          <w:color w:val="000000"/>
          <w:sz w:val="20"/>
        </w:rPr>
        <w:t>pro se</w:t>
      </w:r>
      <w:r>
        <w:rPr>
          <w:color w:val="000000"/>
        </w:rPr>
        <w:t xml:space="preserve"> </w:t>
      </w:r>
      <w:r>
        <w:rPr>
          <w:rFonts w:ascii="Times New Roman;serif" w:hAnsi="Times New Roman;serif"/>
          <w:b w:val="false"/>
          <w:color w:val="000000"/>
          <w:sz w:val="20"/>
        </w:rPr>
        <w:t xml:space="preserve">(i.e., acting on their own behalf rather than through an attorney), seeking compensatory and punitive damages, as well as fees and costs. In addition, on </w:t>
      </w:r>
      <w:r>
        <w:rPr>
          <w:rFonts w:ascii="Times New Roman;serif" w:hAnsi="Times New Roman;serif"/>
          <w:b w:val="false"/>
          <w:color w:val="000000"/>
          <w:sz w:val="20"/>
          <w:shd w:fill="FFFFFF" w:val="clear"/>
        </w:rPr>
        <w:t xml:space="preserve">January 15, 2026, a putative class action complaint was filed against the Company and certain of our executive officers in the United States District Court for the Northern District of California (Case No. 3:26-cv-00427) by a purported stockholder seeking an unspecified amount of damages. </w:t>
      </w:r>
      <w:r>
        <w:rPr>
          <w:rFonts w:ascii="Times New Roman;serif" w:hAnsi="Times New Roman;serif"/>
          <w:b w:val="false"/>
          <w:color w:val="000000"/>
          <w:sz w:val="20"/>
        </w:rPr>
        <w:t>The Company believes both actions are wholly without merit, and intends to vigorously defend itself in both cases.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11. Subsequent Events</w:t>
      </w:r>
    </w:p>
    <w:p>
      <w:pPr>
        <w:pStyle w:val="TextBody"/>
        <w:bidi w:val="0"/>
        <w:spacing w:lineRule="auto" w:line="268" w:before="0" w:after="0"/>
        <w:jc w:val="both"/>
        <w:rPr/>
      </w:pPr>
      <w:r>
        <w:rPr>
          <w:rFonts w:ascii="Times New Roman;serif" w:hAnsi="Times New Roman;serif"/>
          <w:b w:val="false"/>
          <w:color w:val="000000"/>
          <w:sz w:val="20"/>
        </w:rPr>
        <w:t>On February 3, 2026, the Company received a letter from the Nasdaq Listing Qualifications Staff indicating that, based upon the closing bid price of shares of the Company’s common stock for the 30 consecutive business day period between</w:t>
      </w:r>
      <w:r>
        <w:rPr>
          <w:color w:val="000000"/>
          <w:shd w:fill="FFFFFF" w:val="clear"/>
        </w:rPr>
        <w:t xml:space="preserve"> </w:t>
      </w:r>
      <w:r>
        <w:rPr>
          <w:rFonts w:ascii="Times New Roman;serif" w:hAnsi="Times New Roman;serif"/>
          <w:b w:val="false"/>
          <w:color w:val="000000"/>
          <w:sz w:val="20"/>
          <w:shd w:fill="FFFFFF" w:val="clear"/>
        </w:rPr>
        <w:t xml:space="preserve">December 17, 2025 and February 2, 2026, </w:t>
      </w:r>
      <w:r>
        <w:rPr>
          <w:rFonts w:ascii="Times New Roman;serif" w:hAnsi="Times New Roman;serif"/>
          <w:b w:val="false"/>
          <w:color w:val="000000"/>
          <w:sz w:val="20"/>
        </w:rPr>
        <w:t xml:space="preserve">the Company did not meet the minimum bid price of $1.00 per share required for continued listing on the Nasdaq Capital Market pursuant to Nasdaq Listing Rule 5550(a)(2). The letter also indicated that the Company will be provided with a compliance period of 180 calendar days, or until August 3, 2026 (the </w:t>
      </w:r>
      <w:r>
        <w:rPr>
          <w:rFonts w:ascii="Times New Roman;serif" w:hAnsi="Times New Roman;serif"/>
          <w:b w:val="false"/>
          <w:i/>
          <w:color w:val="000000"/>
          <w:sz w:val="20"/>
        </w:rPr>
        <w:t>Compliance Period</w:t>
      </w:r>
      <w:r>
        <w:rPr>
          <w:rFonts w:ascii="Times New Roman;serif" w:hAnsi="Times New Roman;serif"/>
          <w:b w:val="false"/>
          <w:color w:val="000000"/>
          <w:sz w:val="20"/>
        </w:rPr>
        <w:t xml:space="preserve">), in which to regain compliance pursuant to Nasdaq Listing Rule 5810(c)(3)(A).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letter has no immediate impact on the listing of the Company’s common stock, which will continue to be listed and traded on Nasdaq, subject to the Company’s compliance with the other listing requirements of Nasdaq.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intends to actively monitor the closing bid price of its shares of common stock during the Compliance Period and may, if appropriate, evaluate available options to resolve the deficiency and regain compliance with the minimum bid price requirement. While the Company is exercising diligent efforts to maintain the listing of its common stock on the Nasdaq Capital Market, there can be no assurance that the Company will be able to regain or maintain compliance with the minimum bid price requirement or any other Nasdaq listing standard.</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900"/>
        <w:jc w:val="left"/>
        <w:rPr/>
      </w:pPr>
      <w:r>
        <w:rPr>
          <w:rFonts w:ascii="Times New Roman;serif" w:hAnsi="Times New Roman;serif"/>
          <w:b/>
          <w:color w:val="000000"/>
          <w:sz w:val="20"/>
        </w:rPr>
        <w:t>Item</w:t>
      </w:r>
      <w:r>
        <w:rPr>
          <w:color w:val="000000"/>
        </w:rPr>
        <w:t xml:space="preserve"> </w:t>
      </w:r>
      <w:r>
        <w:rPr>
          <w:rFonts w:ascii="Times New Roman;serif" w:hAnsi="Times New Roman;serif"/>
          <w:b/>
          <w:color w:val="000000"/>
          <w:sz w:val="20"/>
        </w:rPr>
        <w:t>2.    MANAGEMENT</w:t>
      </w:r>
      <w:r>
        <w:rPr>
          <w:color w:val="000000"/>
        </w:rPr>
        <w:t>’</w:t>
      </w:r>
      <w:r>
        <w:rPr>
          <w:rFonts w:ascii="Times New Roman;serif" w:hAnsi="Times New Roman;serif"/>
          <w:b/>
          <w:color w:val="000000"/>
          <w:sz w:val="20"/>
        </w:rPr>
        <w: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both"/>
        <w:rPr/>
      </w:pPr>
      <w:r>
        <w:rPr/>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Certain statements in this Quarterly Report on Form 10-Q (Quarterly Report or Report) may constitute “forward-looking statements” for purposes of the federal securities laws, including the safe harbor provisions of Section 27A of the Securities Act of 1933, as amended (the Securities Act), and Section 21E of the Securities Exchange Act of 1934, as amended (the Exchange Act), that involve substantial risks and uncertainties.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also forward-looking statements. The words “anticipate,” “believe,” “can,” “contemplate,” "continue,” “could,” “estimate,” “expect,” “future,” “intends,” “may,” “might,” “plan,” “possible,” “potential,” “predict,” “project,” “should,” “strategy,” “target,” “will,” “would,” or the negative of these terms or similar expressions may identify forward-looking statements, but the absence of these words does not mean that a statement is not forward-looking. Forward-looking statements in this Report may include, for example, statements about:</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period over which we anticipate our available financial resources will enable us to fund our operating expense;</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obtain additional funding for our operations, including funding necessary to complete further development, approval and, if approved, commercialization of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format, objectives, strategy, likelihood of success, and cost of our preclinical studies and clinical trials and other product development activities, including the design of our preclinical studies and clinical trials;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timing of initiation of our preclinical studies and clinical trials;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recruit, enroll and randomize suitable patients in our clinical trials;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timing of completion of our preclinical studies and clinical trials and related preparatory work;</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collect and interpret preclinical and clinical data;</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timing and outcome of regulatory interactions, including whether preclinical studies and clinical trials meet the criteria to enable early-stage or late-stage clinical development or support registration of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potential attributes and benefits of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obtain and, if obtained, maintain regulatory approval for our product candidates, and any related restrictions, limitations or warnings on the label of an approved product candidate;</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potential for our business development efforts to optimize the potential value of our neuroscience pipeline;</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compete with other companies currently marketing or engaged in the development of treatments for the indications that we pursue or are pursuing for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obtain and maintain intellectual property protection for our product candidates and the duration of such protection;</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contract with and rely on the performance of third-parties to assist in conducting our preclinical studies and clinical trials and manufacturing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size and growth potential of the markets for our product candidates, and our ability to serve those markets, either on our own or in partnership with others;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rate and degree of market acceptance of our product candidates, if approved;</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pricing and reimbursement of our product candidates, if approved;</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regulatory changes, including regulatory personnel, and developments in the U.S. and foreign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impact of laws, regulations, accounting standards, regulatory requirements, judicial decisions and guidance issued by authoritative bodies;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attract and retain key scientific, medical, commercial and management personnel and the impact of any reductions in force (RIFs);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estimates regarding expenses, future revenue, and needs for additional financing;</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future financial performance;</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recognize the anticipated benefits of our License and Collaboration Agreement with AffaMed Therapeutics, Inc. (including our ability to receive future payments thereunder) and any other future financing or business development transactions;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effect of adverse market or macroeconomic conditions, including, among others, tariffs, inflation, interest rates and economic uncertainty, market volatility resulting from global political or economic developments, reduced staffing at the Company or at the FDA or other government regulatory agencies, war, international hostilities and terrorism, any future public health epidemics or outbreaks of infectious disease and other factors on any of the foregoing or other aspects of our business operations, including but not limited to our preclinical studies, clinical trials and other product development activities, healthcare systems and the global economy as a whole; and</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other risks and uncertainties, including those listed under Part I, Item 1A of this Quarterly Report titled “Risk Factors.”</w:t>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or important factors that may cause actual results or performance to be materially different from those expressed or implied by these forward-looking statements. These risks and uncertainties include, but are not limited to, those factors described in the sections titled “Risk Factors” and “Management’s Discussion and Analysis of Financial Condition and Results of Operations,” set forth in this Quarterly Report.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You should read this Quarterly Report completely and with the understanding that our actual future results may be materially different from what we expect. We qualify all of our forward-looking statements by these cautionary statements.</w:t>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as exhibits to this Quarterly Report. Unless the context otherwise requires, reference in this Quarterly Report to the terms “Vistagen,” “the Company,” “we,” “us,” “our,” and similar designations refer to Vistagen Therapeutics, Inc., a Nevada corporation, and where appropriate, our consolidated subsidiaries.</w:t>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may contain references to trademarks, trade names and service marks belonging to other entities. Solely for convenience, trademarks, trade names and service marks referred to in this Quarterly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We may from time to time provide estimates, projections and other information concerning our industry, the general business environment, and the markets for certain diseases or disorders, including estimates regarding the potential size of those markets and the estimated incidence and prevalence of certain medical conditions. Information that is based on estimates, forecasts, market research, projections, or similar methodologies is inherently subject to uncertainties, and actual circumstances, events or numbers, including actual disease prevalence rates and market size, may differ materially from the information reflected in this Quarterly Report. Unless otherwise expressly stated, we obtained the industry, market and competitive position data from our internal estimates and research, or from independent market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industry and general publications and surveys, governmental agencies and publicly available information in addition to research, surveys and studies conducted by third parties that have not been independently verified which may, in the future, prove not to have been accurate.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0"/>
        <w:jc w:val="both"/>
        <w:rPr/>
      </w:pPr>
      <w:r>
        <w:rPr>
          <w:rFonts w:ascii="Times New Roman;serif" w:hAnsi="Times New Roman;serif"/>
          <w:b w:val="false"/>
          <w:color w:val="000000"/>
          <w:sz w:val="20"/>
        </w:rPr>
        <w:t>We are a late clinical-stage biopharmaceutical company leveraging a deep understanding of nose-to-brain neurocircuitry to develop and potentially commercialize a new class of intranasal product candidates called pherines. Our broad and diverse neuroscience pipeline currently consists of five clinical-stage pherine product candidates, each with a novel proposed mechanism of action (</w:t>
      </w:r>
      <w:r>
        <w:rPr>
          <w:rFonts w:ascii="Times New Roman;serif" w:hAnsi="Times New Roman;serif"/>
          <w:b w:val="false"/>
          <w:i/>
          <w:color w:val="000000"/>
          <w:sz w:val="20"/>
        </w:rPr>
        <w:t>MOA</w:t>
      </w:r>
      <w:r>
        <w:rPr>
          <w:rFonts w:ascii="Times New Roman;serif" w:hAnsi="Times New Roman;serif"/>
          <w:b w:val="false"/>
          <w:color w:val="000000"/>
          <w:sz w:val="20"/>
        </w:rPr>
        <w:t>) and at least one positive clinical study involving our targeted patient population. Pherines rapidly, specifically and selectively bind to peripheral receptors in human nasal chemosensory neurons, and are designed to rapidly activate nose-to-brain neurocircuits believed to regulate brain areas without requiring systemic absorption or uptake into the brain to achieve desired therapeutic benefits.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Our most advanced intranasal pherine product candidate is fasedienol, which is being investigated in our U.S. registration-directed PALISADE Program for the acute treatment of social anxiety disorder (</w:t>
      </w:r>
      <w:r>
        <w:rPr>
          <w:rFonts w:ascii="Times New Roman;serif" w:hAnsi="Times New Roman;serif"/>
          <w:b w:val="false"/>
          <w:i/>
          <w:color w:val="000000"/>
          <w:sz w:val="20"/>
        </w:rPr>
        <w:t>SAD</w:t>
      </w:r>
      <w:r>
        <w:rPr>
          <w:rFonts w:ascii="Times New Roman;serif" w:hAnsi="Times New Roman;serif"/>
          <w:b w:val="false"/>
          <w:color w:val="000000"/>
          <w:sz w:val="20"/>
        </w:rPr>
        <w:t xml:space="preserve">). There are four Phase 3 trials of fasedienol for the acute treatment of SAD in our PALISADE Program – PALISADE-1, PALISADE-2, PALISADE-3 and PALISADE-4. We have concluded PALISADE-1, PALISADE-2 and the randomized portion of PALISADE-3. PALISADE-2 achieved its primary endpoint; neither PALISADE-1 nor PALISADE-3 achieved its primary endpoint. PALISADE-4, and a small exploratory Phase 2B trial designed to assess efficacy, safety and tolerability of a repeat dose of fasedienol in adults with SAD in a public speaking challenge in a clinical setting (the </w:t>
      </w:r>
      <w:r>
        <w:rPr>
          <w:rFonts w:ascii="Times New Roman;serif" w:hAnsi="Times New Roman;serif"/>
          <w:b w:val="false"/>
          <w:i/>
          <w:color w:val="000000"/>
          <w:sz w:val="20"/>
        </w:rPr>
        <w:t>Repeat Dose Study</w:t>
      </w:r>
      <w:r>
        <w:rPr>
          <w:rFonts w:ascii="Times New Roman;serif" w:hAnsi="Times New Roman;serif"/>
          <w:b w:val="false"/>
          <w:color w:val="000000"/>
          <w:sz w:val="20"/>
        </w:rPr>
        <w:t>), are ongoing. Topline data for PALISADE-4 and the Repeat Dose Study are expected in the first half of calendar year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also reported positive results from an exploratory Phase 2A clinical trial for each of our next most advanced pherine product candidates, itruvone for treatment of major depressive disorder, and refisolone (formerly PH80) for both vasomotor symptoms (hot flashes) due to menopause and premenstrual dysphoric disorder, as well as a pilot Phase 2A study of PH15 for improvement of psychomotor impairment due to mental fatigue and an exploratory Phase 2A study of PH284 for treatment of cancer cachexia.</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passionate about developing transformative treatment options with potential to meet clear and growing unmet patient needs and delivering long-term value to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Our Neuroscience Product Candidates</w:t>
      </w:r>
    </w:p>
    <w:p>
      <w:pPr>
        <w:pStyle w:val="TextBody"/>
        <w:bidi w:val="0"/>
        <w:spacing w:lineRule="auto" w:line="268" w:before="0" w:after="200"/>
        <w:jc w:val="left"/>
        <w:rPr>
          <w:rFonts w:ascii="Times New Roman;serif" w:hAnsi="Times New Roman;serif"/>
          <w:b/>
          <w:color w:val="000000"/>
          <w:sz w:val="20"/>
        </w:rPr>
      </w:pPr>
      <w:r>
        <w:rPr>
          <w:rFonts w:ascii="Times New Roman;serif" w:hAnsi="Times New Roman;serif"/>
          <w:b/>
          <w:color w:val="000000"/>
          <w:sz w:val="20"/>
        </w:rPr>
        <w:t>Fasedienol</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Overview of Social Anxiety Disorder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SAD is a highly prevalent, serious, and life-threatening psychiatric mental health disorder affecting over 30 million adults in the U.S. With onset typically early in life, usually during adolescence, SAD </w:t>
      </w:r>
      <w:r>
        <w:rPr>
          <w:rFonts w:ascii="Times New Roman;serif" w:hAnsi="Times New Roman;serif"/>
          <w:b w:val="false"/>
          <w:color w:val="212121"/>
          <w:sz w:val="20"/>
        </w:rPr>
        <w:t xml:space="preserve">persists for many years thereafter, with a </w:t>
      </w:r>
      <w:r>
        <w:rPr>
          <w:rFonts w:ascii="Times New Roman;serif" w:hAnsi="Times New Roman;serif"/>
          <w:b w:val="false"/>
          <w:color w:val="000000"/>
          <w:sz w:val="20"/>
        </w:rPr>
        <w:t>reported mean duration of about 20 years. Individuals with SAD experience extreme anxiety, distress, fear, and impairment due to their fear of being watched, embarrassed, judged, humiliated, negatively evaluated, and scrutinized. The profound acute anxiety associated with SAD often results in avoidance of everyday interactions and opportunities in academic, social and vocational settings, which can lead to impaired personal relationships, unsatisfactory work performance, and substance abuse, significantly impacting various aspects of daily life. Individuals with SAD face an increased risk of serious and life-threatening co-morbid depression, substance abuse, suicidal ideation and suicide.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Fasedienol for the Acute Treatment of Social Anxiety Disorder</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Fasedienol, our lead clinical-stage product candidate, is a synthetic neurocircuitry-focused intranasal pherine in an ongoing U.S. registration-directed Phase 3 clinical development program for the acute treatment of anxiety in adults with SAD. Fasedienol's proposed MOA is fundamentally differentiated from all FDA-approved anti-anxiety medications. When administered intranasally in microgram-level doses, neurocircuitry-focused fasedienol modulates the nasal-limbic amygdala fear and anxiety neurocircuits involved in the pathophysiology of SAD. Fasedienol is pharmacologically active without requiring apparent systemic absorption or direct binding on neurons in the brain to achieve its rapid-onset anxiolytic effects. Fasedienol has no observed binding on certain cellular receptors in the brain that are associated with known drug abuse liability potential (for example, dopamine and opiate receptors) when activated by certain other pharmaceutical compounds for neuropsychiatric and neurological disorders. Unlike benzodiazepines, fasedienol has no observed potentiation of GABA-A. Because of its innovative non-systemic neurocircuitry-focused proposed MOA, we believe fasedienol has the potential to achieve rapid-onset anxiolytic effects for individuals with SAD on an acute, as-needed basis, with a significantly reduced risk of unwanted side effects and safety concerns, such as potential drug-drug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interactions, abuse, misuse, and addiction, associated with certain current oral and other systemically absorbed neuropsychiatric pharmaceuticals that act directly on neurons in the brain and are sometimes prescribed off-label for the acute treatment of SAD.</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Fasedienol's U.S. Registration-directed PALISADE Program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Fasedienol is under development, and has received fast track designation, for the acute treatment of SAD, and is designed to reduce the wave of anxiety usually experienced by SAD patients before engaging in (and during) a feared and anxiety-provoking social or performance situation. While there are approved treatments for SAD, none are approved for the acute treatment of SAD on an as-needed basis in connection with an anxiety-producing social or performance-based event. We have designed fasedienol nasal spray with the goal of creating a product candidate with a rapid-onset non-systemic proposed MOA and pharmacological effect, a key and substantial difference between fasedienol and all other available therapies approved by the FDA for the treatment of SAD.</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Our PALISADE Program includes the PALISADE-1, PALISADE-2, PALISADE-3, and PALISADE-4 Phase 3 studies. These clinical trials are randomized, double-blind, placebo-controlled, U.S. multi-center Phase 3 clinical trials designed to evaluate the efficacy, safety, and tolerability of a single dose of fasedienol to relieve anxiety symptoms in adult patients with SAD during a five-minute, simulated, anxiety-provoking public speaking challenge conducted in a clinical setting, as measured by the least squares (</w:t>
      </w:r>
      <w:r>
        <w:rPr>
          <w:rFonts w:ascii="Times New Roman;serif" w:hAnsi="Times New Roman;serif"/>
          <w:b w:val="false"/>
          <w:i/>
          <w:color w:val="000000"/>
          <w:sz w:val="20"/>
        </w:rPr>
        <w:t>LS</w:t>
      </w:r>
      <w:r>
        <w:rPr>
          <w:rFonts w:ascii="Times New Roman;serif" w:hAnsi="Times New Roman;serif"/>
          <w:b w:val="false"/>
          <w:color w:val="000000"/>
          <w:sz w:val="20"/>
        </w:rPr>
        <w:t>) mean change from baseline on the patient-rated Subjective Units of Distress Scale (</w:t>
      </w:r>
      <w:r>
        <w:rPr>
          <w:rFonts w:ascii="Times New Roman;serif" w:hAnsi="Times New Roman;serif"/>
          <w:b w:val="false"/>
          <w:i/>
          <w:color w:val="000000"/>
          <w:sz w:val="20"/>
        </w:rPr>
        <w:t>SUDS</w:t>
      </w:r>
      <w:r>
        <w:rPr>
          <w:rFonts w:ascii="Times New Roman;serif" w:hAnsi="Times New Roman;serif"/>
          <w:b w:val="false"/>
          <w:color w:val="000000"/>
          <w:sz w:val="20"/>
        </w:rPr>
        <w:t>) score for fasedienol compared with placebo as the primary efficacy endpoint. Neither PALISADE-1, completed in 2022, nor PALISADE-3, the randomized portion of which was completed in December 2025, achieved its primary endpoint in the randomized phase of each study, as measured by the LS mean change from baseline on the SUDS score for fasedienol compared with placebo. After receipt of negative top-line results from PALISADE-1 during the COVID-19 pandemic, we terminated PALISADE-2 prior to completion (after enrolling 141 patients out of a planned 208) and analyzed the data from the 141 enrolled subjects. In August 2023, we announced that PALISADE-2 achieved its primary efficacy endpoint as measured by the LS mean change from baseline on the SUDS score for fasedienol compared with placebo. Safety data for fasedienol have been consistently favorable across all clinical trials completed to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the positive data from PALISADE-2, we initiated PALISADE-3 and PALISADE-4 using the same randomized trial designs and primary efficacy endpoint utilized in PALISADE-2, and added an open-label extension to each of the studies. As noted above, PALISADE-3, the randomized portion of which was completed in December 2025, did not achieved its primary endpoint. Topline data from the randomized portion of PALISADE-4 are expected in the first half of calendar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aligned with the FDA that a clinic-based public speaking challenge and the SUDS are the appropriate study design and primary efficacy endpoint, respectively, to measure anxiety immediately related to the specific stressor, and is an appropriate and efficient path for our U.S. registration-directed PALISADE Program, which is focused on fasedienol’s potential to become the first FDA-approved acute treatment of anxiety for adults with SAD. Based on FDA feedback, in addition to the Repeat Dose Study, we plan to generate evidence to support the clinical meaningfulness of the duration and magnitude of effect of fasedienol, which, pending the results of PALISADE-4 and further feedback from the FDA, we intend to include in a potential NDA submission together with data from our pivotal program, Repeat Dose Study, open-label long-term safety studies, a human factors study, and other clinical and preclinical studies.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PALISADE-4, if successful, together with the positive results from PALISADE-2 and evidence we plan to generate to support the clinical meaningfulness of the duration and magnitude of effect of fasedienol, may establish substantial evidence of the effectiveness of fasedienol in support of a potential NDA submission to the FDA for the acute treatment of SAD, although we have not discussed this plan with the FDA subsequent to receipt of top-line results from the randomized portion of PALISADE-3. As we move closer toward potential completion of Phase 3 development, we plan to seek further feedback from the FDA regarding the proposed submission package for a potential NDA.</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fasedienol has the potential to be the first FDA-approved acute treatment of SAD and may provide significant advantages relative to the suboptimal standard of care for the highly prevalent disorder.</w:t>
      </w:r>
    </w:p>
    <w:p>
      <w:pPr>
        <w:pStyle w:val="TextBody"/>
        <w:bidi w:val="0"/>
        <w:spacing w:lineRule="auto" w:line="268" w:before="200" w:after="200"/>
        <w:jc w:val="both"/>
        <w:rPr>
          <w:rFonts w:ascii="Times New Roman;serif" w:hAnsi="Times New Roman;serif"/>
          <w:b/>
          <w:color w:val="000000"/>
          <w:sz w:val="20"/>
        </w:rPr>
      </w:pPr>
      <w:r>
        <w:rPr>
          <w:rFonts w:ascii="Times New Roman;serif" w:hAnsi="Times New Roman;serif"/>
          <w:b/>
          <w:color w:val="000000"/>
          <w:sz w:val="20"/>
        </w:rPr>
        <w:t>Itruvone</w:t>
      </w:r>
    </w:p>
    <w:p>
      <w:pPr>
        <w:pStyle w:val="TextBody"/>
        <w:bidi w:val="0"/>
        <w:spacing w:lineRule="auto" w:line="268" w:before="200" w:after="200"/>
        <w:jc w:val="both"/>
        <w:rPr>
          <w:rFonts w:ascii="Times New Roman;serif" w:hAnsi="Times New Roman;serif"/>
          <w:b/>
          <w:i/>
          <w:color w:val="000000"/>
          <w:sz w:val="20"/>
        </w:rPr>
      </w:pPr>
      <w:r>
        <w:rPr>
          <w:rFonts w:ascii="Times New Roman;serif" w:hAnsi="Times New Roman;serif"/>
          <w:b/>
          <w:i/>
          <w:color w:val="000000"/>
          <w:sz w:val="20"/>
        </w:rPr>
        <w:t>Overview of Major Depressive Disorder</w:t>
      </w:r>
    </w:p>
    <w:p>
      <w:pPr>
        <w:pStyle w:val="TextBody"/>
        <w:bidi w:val="0"/>
        <w:spacing w:lineRule="auto" w:line="268" w:before="0" w:after="0"/>
        <w:jc w:val="both"/>
        <w:rPr/>
      </w:pPr>
      <w:r>
        <w:rPr>
          <w:rFonts w:ascii="Times New Roman;serif" w:hAnsi="Times New Roman;serif"/>
          <w:b w:val="false"/>
          <w:color w:val="000000"/>
          <w:sz w:val="20"/>
        </w:rPr>
        <w:t>Depression is a serious medical condition and a global public health concern that can arise at any time during a person's life. According to the World Health Organization (</w:t>
      </w:r>
      <w:r>
        <w:rPr>
          <w:rFonts w:ascii="Times New Roman;serif" w:hAnsi="Times New Roman;serif"/>
          <w:b w:val="false"/>
          <w:i/>
          <w:color w:val="000000"/>
          <w:sz w:val="20"/>
        </w:rPr>
        <w:t>WHO</w:t>
      </w:r>
      <w:r>
        <w:rPr>
          <w:rFonts w:ascii="Times New Roman;serif" w:hAnsi="Times New Roman;serif"/>
          <w:b w:val="false"/>
          <w:color w:val="000000"/>
          <w:sz w:val="20"/>
        </w:rPr>
        <w:t>), depression affects over 300 million people worldwide. The U.S. National Institute of Mental Health (</w:t>
      </w:r>
      <w:r>
        <w:rPr>
          <w:rFonts w:ascii="Times New Roman;serif" w:hAnsi="Times New Roman;serif"/>
          <w:b w:val="false"/>
          <w:i/>
          <w:color w:val="000000"/>
          <w:sz w:val="20"/>
        </w:rPr>
        <w:t>NIMH</w:t>
      </w:r>
      <w:r>
        <w:rPr>
          <w:rFonts w:ascii="Times New Roman;serif" w:hAnsi="Times New Roman;serif"/>
          <w:b w:val="false"/>
          <w:color w:val="000000"/>
          <w:sz w:val="20"/>
        </w:rPr>
        <w:t xml:space="preserve">) reports that approximately 21 million adults in the U.S., or approximately 8.4% of all adults in the U.S., experienced at least one major depressive episode in 2020. While many individuals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pPr>
      <w:r>
        <w:rPr>
          <w:rFonts w:ascii="Times New Roman;serif" w:hAnsi="Times New Roman;serif"/>
          <w:b w:val="false"/>
          <w:color w:val="000000"/>
          <w:sz w:val="20"/>
        </w:rPr>
        <w:t>experience a depressive episode at some point during their lifetime, major depressive disorder (</w:t>
      </w:r>
      <w:r>
        <w:rPr>
          <w:rFonts w:ascii="Times New Roman;serif" w:hAnsi="Times New Roman;serif"/>
          <w:b w:val="false"/>
          <w:i/>
          <w:color w:val="000000"/>
          <w:sz w:val="20"/>
        </w:rPr>
        <w:t>MDD</w:t>
      </w:r>
      <w:r>
        <w:rPr>
          <w:rFonts w:ascii="Times New Roman;serif" w:hAnsi="Times New Roman;serif"/>
          <w:b w:val="false"/>
          <w:color w:val="000000"/>
          <w:sz w:val="20"/>
        </w:rPr>
        <w:t>) is different. MDD is the chronic, pervasive feeling of utter unhappiness and suffering, which impairs daily functioning. Symptoms of MDD can include a lack of pleasure in activities, changes in appetite resulting in weight fluctuations, insomnia or excessive 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many people, depression cannot be controlled for any length of time without treatment. However, approximately two out of every three people who are treated for depression do not experience adequate therapeutic benefits from their initial treatment with a standard antidepressant. Even after multiple treatment attempts, about one-third of treated individuals are unable to find a sufficiently effective therapy. Inadequate response to current treatments is among the key reasons MDD is one of the leading public health concerns in the U.S., creating a significant unmet medical need for new agents with fundamentally differentiated MOAs and differentiated safety.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Itruvone for the Treatment of Major Depressive Disorder</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Itruvone is our investigational pherine product candidate under development as a stand-alone treatment of MDD. The FDA has granted fast track designation for development of itruvone for MDD. Unlike other antidepressants which rely on single or double-receptor occupancy in the brain, itruvone's proposed MOA involves modulation of the nasal-limbic amygdala anhedonia and depressed mood neurocircuits. The scope of itruvone's neural circuit activation, and potential impact on the brain, appears, in studies completed to date, to be faster and safer than can be achieved with current therapies targeting binding to any specific brain receptor. We believe non-systemic itruvone has the potential to treat MDD without causing the side effects and safety concerns that may be associated with currently approved systemic antidepressant therapies, including, among others, drug-drug interactions, psychological side effects, sexual side effects, sedation, weight gain and suicidal ideation.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In a randomized, double-blind, placebo-controlled parallel design exploratory Phase 2A clinical trial of itruvone as a stand-alone treatment for MDD, itruvone reduced depressive symptoms in as soon as one week based on the 17-item Hamilton Depression Scale (</w:t>
      </w:r>
      <w:r>
        <w:rPr>
          <w:rFonts w:ascii="Times New Roman;serif" w:hAnsi="Times New Roman;serif"/>
          <w:b w:val="false"/>
          <w:i/>
          <w:color w:val="000000"/>
          <w:sz w:val="20"/>
        </w:rPr>
        <w:t>HAM-D-17</w:t>
      </w:r>
      <w:r>
        <w:rPr>
          <w:rFonts w:ascii="Times New Roman;serif" w:hAnsi="Times New Roman;serif"/>
          <w:b w:val="false"/>
          <w:color w:val="000000"/>
          <w:sz w:val="20"/>
        </w:rPr>
        <w:t>) scores compared to placebo. Itruvone was well-tolerated and did not cause psychological side effects (such as dissociation), sexual side effects, weight gain, or other safety concerns that may be associated with other approved pharmacological therapies for MDD. Positive data from our June 2023 Phase 1 trial of itruvone demonstrated that there were no reported treatment-related serious adverse events (</w:t>
      </w:r>
      <w:r>
        <w:rPr>
          <w:rFonts w:ascii="Times New Roman;serif" w:hAnsi="Times New Roman;serif"/>
          <w:b w:val="false"/>
          <w:i/>
          <w:color w:val="000000"/>
          <w:sz w:val="20"/>
        </w:rPr>
        <w:t>SAEs</w:t>
      </w:r>
      <w:r>
        <w:rPr>
          <w:rFonts w:ascii="Times New Roman;serif" w:hAnsi="Times New Roman;serif"/>
          <w:b w:val="false"/>
          <w:color w:val="000000"/>
          <w:sz w:val="20"/>
        </w:rPr>
        <w:t>) or discontinuations due to adverse events in the trial, consistent with previous clinical studies of itruvone. As a result, building on the positive results from the previous Phase 2A clinical development of itruvone in MDD, we are currently planning for potential U.S. Phase 2B clinical development of itruvone as a stand-alone treatment for MDD.</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Refisolone (formerly PH80)</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Overview of Vasomotor Symptoms (Hot Flashes) due to Menopause</w:t>
      </w:r>
    </w:p>
    <w:p>
      <w:pPr>
        <w:pStyle w:val="TextBody"/>
        <w:bidi w:val="0"/>
        <w:spacing w:lineRule="auto" w:line="276" w:before="0" w:after="0"/>
        <w:jc w:val="both"/>
        <w:rPr/>
      </w:pPr>
      <w:r>
        <w:rPr>
          <w:rFonts w:ascii="Times New Roman;serif" w:hAnsi="Times New Roman;serif"/>
          <w:b w:val="false"/>
          <w:color w:val="000000"/>
          <w:sz w:val="20"/>
        </w:rPr>
        <w:t>Vasomotor symptoms (</w:t>
      </w:r>
      <w:r>
        <w:rPr>
          <w:rFonts w:ascii="Times New Roman;serif" w:hAnsi="Times New Roman;serif"/>
          <w:b w:val="false"/>
          <w:i/>
          <w:color w:val="000000"/>
          <w:sz w:val="20"/>
        </w:rPr>
        <w:t>VMS</w:t>
      </w:r>
      <w:r>
        <w:rPr>
          <w:rFonts w:ascii="Times New Roman;serif" w:hAnsi="Times New Roman;serif"/>
          <w:b w:val="false"/>
          <w:color w:val="000000"/>
          <w:sz w:val="20"/>
        </w:rPr>
        <w:t xml:space="preserve">), comprised of hot flashes and night sweats, are the most common symptoms of the menopausal transition, affecting 60% - 80% of menopausal women in the U.S., according to SWAN (Study of Women Across the Nation) and other published studies. VMS can be described as a sudden, intense feeling of warmth spreading through the upper body and face, flushed appearance with red, blotchy skin, rapid heartbeat, and perspiration on the upper body. Each episode typically lasts between one and five minutes and may be accompanied by sweating, chills, and anxiety. Although there is individual variability in the frequency and severity of symptoms, VMS negatively impacts physical, emotional, social, and occupational well-being, and can significantly diminish the overall quality of life and work productivity for those who experience symptoms. While there are FDA-approved therapies for the treatment of moderate to severe VMS due to menopause, many women are unable to use current therapies due to contraindications and safety concerns, such as cardiovascular disorders, dementia, breast cancer, and liver toxicity.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Refisolone for the Treatment of Vasomotor Symptoms (Hot Flashes) due to Menopause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Refisolone (formerly PH80) is our investigational pherine product candidate under development as a novel, non-hormonal, non-systemic, as-needed treatment of moderate to severe VMS (hot flashes) due to menopause, and potentially additional women’s health-focused indications. Refisolone’s proposed MOA is fundamentally differentiated from all currently approved treatments for VMS (hot flashes) due to menopause. Administration of low microgram doses of refisolone appears to rapidly activate peripheral nasal chemosensory neurons that modulate the nasal-limbic amygdala-hypothalamic depressed mood and thermoregulatory neurocircuits. Notably, in vitro studies showed that refisolone had no observed engagement with steroid receptors. An in vivo study in mice showed no observed estrogenic and/or androgenic activity and no changes in weight of the uterus or seminal vesicles after intranasal administration. Additionally, in an in vitro study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refisolone did not exert observable effects on receptor targets with known abuse potential, and a clinical study in human volunteers showed no detectable refisolone in blood plasma, indicating the non-systemic nature of refisolone's potential therapeutic benefit.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 randomized, double-blind, placebo-controlled exploratory Phase 2A clinical study of refisolone that was designed to explore the efficacy, safety, and tolerability of intranasal administration of refisolone for the management of menopausal hot flashes in women, refisolone produced a significant reduction in the daily number of hot flashes compared to placebo at the end of the first week of treatment, and the improvement was maintained through each treatment week until the end of the four consecutive week treatment period. Refisolone was well-tolerated with no treatment-related SAEs reported, and the adverse event profiles were comparable between refisolone and placebo. No subject discontinued participation in the study as a result of adverse events.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preparing for our planned submission of our U.S. IND to facilitate further Phase 2 clinical development of refisolone in the U.S. as a potential treatment of moderate to severe VMS (hot flashes) due to menopause and potentially additional women’s health indications.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Overview of Premenstrual Dysphoric Disorder</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According to the U.S. National Institutes of Health (</w:t>
      </w:r>
      <w:r>
        <w:rPr>
          <w:rFonts w:ascii="Times New Roman;serif" w:hAnsi="Times New Roman;serif"/>
          <w:b w:val="false"/>
          <w:i/>
          <w:color w:val="000000"/>
          <w:sz w:val="20"/>
        </w:rPr>
        <w:t>NIH</w:t>
      </w:r>
      <w:r>
        <w:rPr>
          <w:rFonts w:ascii="Times New Roman;serif" w:hAnsi="Times New Roman;serif"/>
          <w:b w:val="false"/>
          <w:color w:val="000000"/>
          <w:sz w:val="20"/>
        </w:rPr>
        <w:t>), 5% to 8% of menarcheal (menstruating women) individuals have moderate-to-severe symptoms that can cause significant distress and functional impairment, suggestive of premenstrual dysphoric disorder (</w:t>
      </w:r>
      <w:r>
        <w:rPr>
          <w:rFonts w:ascii="Times New Roman;serif" w:hAnsi="Times New Roman;serif"/>
          <w:b w:val="false"/>
          <w:i/>
          <w:color w:val="000000"/>
          <w:sz w:val="20"/>
        </w:rPr>
        <w:t>PMDD</w:t>
      </w:r>
      <w:r>
        <w:rPr>
          <w:rFonts w:ascii="Times New Roman;serif" w:hAnsi="Times New Roman;serif"/>
          <w:b w:val="false"/>
          <w:color w:val="000000"/>
          <w:sz w:val="20"/>
        </w:rPr>
        <w:t>), a severe, sometimes disabling extension of premenstrual syndrome (</w:t>
      </w:r>
      <w:r>
        <w:rPr>
          <w:rFonts w:ascii="Times New Roman;serif" w:hAnsi="Times New Roman;serif"/>
          <w:b w:val="false"/>
          <w:i/>
          <w:color w:val="000000"/>
          <w:sz w:val="20"/>
        </w:rPr>
        <w:t>PMS</w:t>
      </w:r>
      <w:r>
        <w:rPr>
          <w:rFonts w:ascii="Times New Roman;serif" w:hAnsi="Times New Roman;serif"/>
          <w:b w:val="false"/>
          <w:color w:val="000000"/>
          <w:sz w:val="20"/>
        </w:rPr>
        <w:t>). Like PMS, PMDD can cause bloating, breast tenderness, fatigue, and changes in sleep and eating habits, but distinctively, it can also cause extreme mood shifts that can disrupt daily life and damage relationships. The cause of PMDD is not clearly understood, but it is thought that neurotransmitter systems may trigger PMDD. Treatment of PMDD is aimed at preventing or minimizing symptomology.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Refisolone for Premenstrual Dysphoric Disorder</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In an exploratory, randomized, double-blind, placebo-controlled Phase 2A clinical study of refisolone for management of the symptoms of PMDD in subjects with a regular menstrual cycle and at least a one-year history of PMDD, refisolone demonstrated a statistically significant improvement versus placebo in management of the symptoms of PMDD, including negative mood and physical and behavioral symptoms, using the subject-rated Penn Daily Symptom Report (</w:t>
      </w:r>
      <w:r>
        <w:rPr>
          <w:rFonts w:ascii="Times New Roman;serif" w:hAnsi="Times New Roman;serif"/>
          <w:b w:val="false"/>
          <w:i/>
          <w:color w:val="000000"/>
          <w:sz w:val="20"/>
        </w:rPr>
        <w:t>DSR</w:t>
      </w:r>
      <w:r>
        <w:rPr>
          <w:rFonts w:ascii="Times New Roman;serif" w:hAnsi="Times New Roman;serif"/>
          <w:b w:val="false"/>
          <w:color w:val="000000"/>
          <w:sz w:val="20"/>
        </w:rPr>
        <w:t xml:space="preserve">). Refisolone was well-tolerated with no SAEs. </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PH15</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Overview of Cognitive and Psychomotor Impairment due to Mental Fatigue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Numerous conditions and disorders, such as shift work disorder, sleep apnea, and narcolepsy, can lead to debilitating sleep deprivation and mental fatigue. The prevalence of these conditions and disorders is high. For example, moderate to severe sleep apnea affects approximately 20% of adult men and 10% of postmenopausal women. Individuals affected by mental fatigue require improved treatment options with a differentiated safety profile, one without the potential for abuse liability or negative and treatment-limiting side effects and safety concerns that may lead to self-treatment and subsequent substance use disorders.</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PH15 for Improvement of Psychomotor Impairment due to Mental Fatigue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PH15 is our investigational pherine product candidate under development as a treatment to improve psychomotor impairment caused by mental fatigue. PH15 is thought to target nasal receptors that modulate the nasal-entorhinal cortex area/hippocampus cognition neurocircuits, which are known to be associated with psychomotor activity and cognition, without requiring systemic absorption or direct action on neurons in the brain. PH15 has demonstrated favorable safety data in all clinical trials completed to date and we believe PH15’s potential MOA is differentiated from the MOA of all currently approved treatments to improve psychomotor impairment caused by mental fatigue.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 randomized, double-blind, placebo-controlled, crossover Phase 2A pilot study (n=10) designed to explore the efficacy, safety, and tolerability of intranasal administration of PH15 on psychomotor performance as measured by reaction time in sleep-deprived participants, PH15 demonstrated a statistically significant improvement in reaction time and the number of errors on both isochronous and stochastic stimuli reactions tests as compared to placebo and caffeine in the sleep-deprived study participants. PH15 was well-tolerated in this study, with no treatment-related SAEs reported. The adverse event profiles of PH15 and placebo were comparable.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evaluating the potential Phase 2 development path forward for PH15 and the manufacturing, nonclinical and Phase 1 clinical programs required to support submission of a U.S. IND to facilitate further potential Phase 2 development of PH15 in the U.S.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PH284</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Overview of Cancer Cachexia</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Cachexia, also known as wasting syndrome, is a complex metabolic syndrome that causes a gradual loss of muscle and body weight. Cachexia is associated with chronic diseases like cancer, AIDS, heart failure, chronic obstructive pulmonary disease, anorexia nervosa, multiple sclerosis, tuberculosis, and anemia. According to the National Cancer Institute (</w:t>
      </w:r>
      <w:r>
        <w:rPr>
          <w:rFonts w:ascii="Times New Roman;serif" w:hAnsi="Times New Roman;serif"/>
          <w:b w:val="false"/>
          <w:i/>
          <w:color w:val="000000"/>
          <w:sz w:val="20"/>
        </w:rPr>
        <w:t>NCI</w:t>
      </w:r>
      <w:r>
        <w:rPr>
          <w:rFonts w:ascii="Times New Roman;serif" w:hAnsi="Times New Roman;serif"/>
          <w:b w:val="false"/>
          <w:color w:val="000000"/>
          <w:sz w:val="20"/>
        </w:rPr>
        <w:t>), cachexia is estimated to occur in up to 80% of people with advanced cancer, depending on the type of cancer and how well they respond to cancer treatment. Cachexia is thought to directly cause up to 30% of cancer deaths, often because of heart or respiratory failure related to muscle loss. Maintaining nutritional support and alleviating cachexia has the potential to improve the underlying condition of cancer. Currently, there are no medical interventions or approved drugs proven to optimally alleviate cachexia.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PH284 for Cancer Cachexia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PH284 is our investigational pherine product candidate with a novel, rapid-onset, neurocircuitry-focused proposed MOA that, we believe, is differentiated from all current treatments for the loss of appetite associated with chronic disorders, such as cancer or heart disease. PH284 is thought to act by modulating the nasal-limbic amygdala-hypothalamic depressed mood and appetite control neurocircuits.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In a double-blind, placebo-controlled exploratory Phase 2A study designed to evaluate the efficacy, safety, and tolerability of intranasal administration of PH284 in female patients diagnosed with cachexia (induced by chronic loss of appetite) due to terminal cancer, PH284 induced a cumulative effect on mean Subjective Feeling of Hunger (</w:t>
      </w:r>
      <w:r>
        <w:rPr>
          <w:rFonts w:ascii="Times New Roman;serif" w:hAnsi="Times New Roman;serif"/>
          <w:b w:val="false"/>
          <w:i/>
          <w:color w:val="000000"/>
          <w:sz w:val="20"/>
        </w:rPr>
        <w:t>SFH</w:t>
      </w:r>
      <w:r>
        <w:rPr>
          <w:rFonts w:ascii="Times New Roman;serif" w:hAnsi="Times New Roman;serif"/>
          <w:b w:val="false"/>
          <w:color w:val="000000"/>
          <w:sz w:val="20"/>
        </w:rPr>
        <w:t xml:space="preserve">) scores, as compared to placebo. No unusual changes in body weight were observed in either the PH284 or placebo groups, though on average, there was a small gain in body weight for PH284 versus a small loss in placebo. PH284 demonstrated no serious treatment-related adverse events, and adverse events reported for the PH284 group were similar to those reported in the placebo-treated group. All the adverse events reported were attributed to the underlying medical condition (cancer) and were not deemed to be related to the administration of PH284 or placebo.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evaluating the potential path forward for PH284, including an assessment of the manufacturing, nonclinical and Phase 1 clinical programs required to support a U.S. IND application for potential further Phase 2 clinical development of PH284 for the treatment of cancer cachexia or other appetite-related disorders.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AV-101</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i/>
          <w:color w:val="000000"/>
          <w:sz w:val="20"/>
        </w:rPr>
        <w:t>AV-101</w:t>
      </w:r>
      <w:r>
        <w:rPr>
          <w:color w:val="000000"/>
        </w:rPr>
        <w:t xml:space="preserve"> </w:t>
      </w:r>
      <w:r>
        <w:rPr>
          <w:rFonts w:ascii="Times New Roman;serif" w:hAnsi="Times New Roman;serif"/>
          <w:b/>
          <w:i/>
          <w:color w:val="000000"/>
          <w:sz w:val="20"/>
        </w:rPr>
        <w:t>for NMDAR-related Neurological Disorders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AV-101 (4-Cl-KYN) is our novel, oral prodrug candidate that targets the NMDAR (N-methyl-D-aspartate receptor), an ionotropic glutamate receptor in the brain. Abnormal NMDAR function is associated with numerous neurological diseases and disorders. The active metabolite of AV-101, 7-chloro-kynurenic acid (7-Cl-KYNA), is a potent and selective full antagonist of the glycine binding site of the NMDAR that inhibits the function of the NMDAR. Unlike ketamine and many other NMDAR antagonists, 7-Cl-KYNA is not an ion channel blocker. In clinical and nonclinical testing completed to date, AV-101 has demonstrated favorable oral bioavailability and pharmacokinetic results. No binding of AV-101 or 7-Cl-KYNA to off-site targets was identified by an extensive receptor screening study. Moreover, in all clinical trials completed to date, AV-101 has been safe and well-tolerated with no psychological side effects or safety concerns and no treatment-related SAEs that are often observed with classic channel-blocking NMDAR antagonists such as ketamine and amantadine. Nonclinical results also indicate that chronic administration of 4-Cl-KYN induces hippocampal neurogenesis and increases endogenous levels of KYNA, which also is a functional NMDAR glycine site antagonist.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Based on observations and findings from preclinical, animal model, and human clinical studies, we believe AV-101 has the potential to become an oral treatment alternative for multiple neuroscience disorders, including levodopa-induced dyskinesia (</w:t>
      </w:r>
      <w:r>
        <w:rPr>
          <w:rFonts w:ascii="Times New Roman;serif" w:hAnsi="Times New Roman;serif"/>
          <w:b w:val="false"/>
          <w:i/>
          <w:color w:val="000000"/>
          <w:sz w:val="20"/>
        </w:rPr>
        <w:t>LID</w:t>
      </w:r>
      <w:r>
        <w:rPr>
          <w:rFonts w:ascii="Times New Roman;serif" w:hAnsi="Times New Roman;serif"/>
          <w:b w:val="false"/>
          <w:color w:val="000000"/>
          <w:sz w:val="20"/>
        </w:rPr>
        <w:t>) and neuropathic pain (</w:t>
      </w:r>
      <w:r>
        <w:rPr>
          <w:rFonts w:ascii="Times New Roman;serif" w:hAnsi="Times New Roman;serif"/>
          <w:b w:val="false"/>
          <w:i/>
          <w:color w:val="000000"/>
          <w:sz w:val="20"/>
        </w:rPr>
        <w:t>NP</w:t>
      </w:r>
      <w:r>
        <w:rPr>
          <w:rFonts w:ascii="Times New Roman;serif" w:hAnsi="Times New Roman;serif"/>
          <w:b w:val="false"/>
          <w:color w:val="000000"/>
          <w:sz w:val="20"/>
        </w:rPr>
        <w:t xml:space="preserve">) potentially among others. We are currently assessing whether there is a path forward for potential collaborative manufacturing, clinical development and commercialization of AV-101 for one or more neurological disorders involving the NMDAR.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FDA has granted fast track designation for the investigation of AV-101 for the treatment of NP and for the adjunctive treatment of MDD.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Subsidiaries</w:t>
      </w:r>
    </w:p>
    <w:p>
      <w:pPr>
        <w:pStyle w:val="TextBody"/>
        <w:bidi w:val="0"/>
        <w:spacing w:lineRule="auto" w:line="288" w:before="200" w:after="283"/>
        <w:jc w:val="both"/>
        <w:rPr/>
      </w:pPr>
      <w:r>
        <w:rPr>
          <w:rFonts w:ascii="Times New Roman;serif" w:hAnsi="Times New Roman;serif"/>
          <w:b w:val="false"/>
          <w:color w:val="000000"/>
          <w:sz w:val="20"/>
        </w:rPr>
        <w:t>Our wholly-owned subsidiaries consist of Pherin Pharmaceuticals, Inc, a Delaware corporation (</w:t>
      </w:r>
      <w:r>
        <w:rPr>
          <w:rFonts w:ascii="Times New Roman;serif" w:hAnsi="Times New Roman;serif"/>
          <w:b w:val="false"/>
          <w:i/>
          <w:color w:val="000000"/>
          <w:sz w:val="20"/>
        </w:rPr>
        <w:t>Pherin</w:t>
      </w:r>
      <w:r>
        <w:rPr>
          <w:rFonts w:ascii="Times New Roman;serif" w:hAnsi="Times New Roman;serif"/>
          <w:b w:val="false"/>
          <w:color w:val="000000"/>
          <w:sz w:val="20"/>
        </w:rPr>
        <w:t>), and Vistastem, Inc., a California corporation founded in 1998 (</w:t>
      </w:r>
      <w:r>
        <w:rPr>
          <w:rFonts w:ascii="Times New Roman;serif" w:hAnsi="Times New Roman;serif"/>
          <w:b w:val="false"/>
          <w:i/>
          <w:color w:val="000000"/>
          <w:sz w:val="20"/>
        </w:rPr>
        <w:t>Vistastem</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Operations Overview and Results of Operations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Financial Overview</w:t>
      </w:r>
    </w:p>
    <w:p>
      <w:pPr>
        <w:pStyle w:val="TextBody"/>
        <w:bidi w:val="0"/>
        <w:spacing w:lineRule="auto" w:line="268" w:before="0" w:after="0"/>
        <w:jc w:val="both"/>
        <w:rPr/>
      </w:pPr>
      <w:r>
        <w:rPr>
          <w:rFonts w:ascii="Times New Roman;serif" w:hAnsi="Times New Roman;serif"/>
          <w:b w:val="false"/>
          <w:color w:val="000000"/>
          <w:sz w:val="20"/>
        </w:rPr>
        <w:t>Since inception, we have devoted substantial resources to advancing initiatives related to research, development, and contract manufacturing of our neuroscience pipeline, including initiatives related to manufacturing processes, analytical methods and production programs for drug substance and finished drug product, as well as for preclinical studies and clinical trials focused on development and potential commercialization of our product candidates, with substantial emphasis on our lead pherine product candidates, fasedienol, itruvone, and refisolone, for the acute treatment of SAD, and treatment of MDD and VMS due to menopause, respectively. At the end of our fiscal year ended March 31, 2024, we launched our PALISADE-3 Phase 3 clinical trial as part of our U.S. registration-directed PALISADE Phase 3 program evaluating fasedienol for the acute treatment of anxiety in adults with SAD, and in September 2024, we initiated our PALISADE-4 Phase 3 clinical trial for the same indication, and incurred costs to plan and prepare for the initiation of the Repeat Dose Study, which we initiated in January 2025. Both the PALISADE-4 Phase 3 trial and the Repeat Dose Study are also parts of our PALISADE Phase 3 program for fasedienol in SAD. In addition, we are continuing to conduct various nonclinical studies and contract manufacturing activities involving other clinical-stage pherine product candidates in our neuroscience pipeline. We also have ongoing initiatives for creating, protecting and patenting intellectual property (</w:t>
      </w:r>
      <w:r>
        <w:rPr>
          <w:rFonts w:ascii="Times New Roman;serif" w:hAnsi="Times New Roman;serif"/>
          <w:b w:val="false"/>
          <w:i/>
          <w:color w:val="000000"/>
          <w:sz w:val="20"/>
        </w:rPr>
        <w:t>IP</w:t>
      </w:r>
      <w:r>
        <w:rPr>
          <w:rFonts w:ascii="Times New Roman;serif" w:hAnsi="Times New Roman;serif"/>
          <w:b w:val="false"/>
          <w:color w:val="000000"/>
          <w:sz w:val="20"/>
        </w:rPr>
        <w:t xml:space="preserve">) related to our neuroscience product candidates and nasal spray delivery device technologies. </w:t>
      </w:r>
    </w:p>
    <w:p>
      <w:pPr>
        <w:pStyle w:val="TextBody"/>
        <w:bidi w:val="0"/>
        <w:spacing w:lineRule="auto" w:line="288" w:before="200" w:after="283"/>
        <w:jc w:val="both"/>
        <w:rPr/>
      </w:pPr>
      <w:r>
        <w:rPr>
          <w:rFonts w:ascii="Times New Roman;serif" w:hAnsi="Times New Roman;serif"/>
          <w:b w:val="false"/>
          <w:color w:val="000000"/>
          <w:sz w:val="20"/>
        </w:rPr>
        <w:t>At December 31, 2025, we had an accumulated deficit of approximately $461.0 million. Our net loss for the year ended March 31, 2025 (</w:t>
      </w:r>
      <w:r>
        <w:rPr>
          <w:rFonts w:ascii="Times New Roman;serif" w:hAnsi="Times New Roman;serif"/>
          <w:b w:val="false"/>
          <w:i/>
          <w:color w:val="000000"/>
          <w:sz w:val="20"/>
        </w:rPr>
        <w:t>Fiscal 2025</w:t>
      </w:r>
      <w:r>
        <w:rPr>
          <w:rFonts w:ascii="Times New Roman;serif" w:hAnsi="Times New Roman;serif"/>
          <w:b w:val="false"/>
          <w:color w:val="000000"/>
          <w:sz w:val="20"/>
        </w:rPr>
        <w:t>) and the year ended March 31, 2024 (</w:t>
      </w:r>
      <w:r>
        <w:rPr>
          <w:rFonts w:ascii="Times New Roman;serif" w:hAnsi="Times New Roman;serif"/>
          <w:b w:val="false"/>
          <w:i/>
          <w:color w:val="000000"/>
          <w:sz w:val="20"/>
        </w:rPr>
        <w:t>Fiscal 2024</w:t>
      </w:r>
      <w:r>
        <w:rPr>
          <w:rFonts w:ascii="Times New Roman;serif" w:hAnsi="Times New Roman;serif"/>
          <w:b w:val="false"/>
          <w:color w:val="000000"/>
          <w:sz w:val="20"/>
        </w:rPr>
        <w:t>) was approximately $51.4 million and $29.4 million, respectively. We incurred a net loss of approximately $18.9 million and $53.4 million for the three and nine months ended December 31, 2025, respectively. We expect losses to continue for the foreseeable future as we engage in further research, clinical and nonclinical development, contract manufacturing and regulatory activities related to fasedienol, itruvone, refisolone and our other pherine product candidates. We have not yet achieved revenue-generating status from any of our product candidates or technologies in amounts sufficient to sustain our operations and fund our strategic business plans.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Sublicense and Other Revenue</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Sublicense and other revenue consist of revenue recognized under our License and Collaboration Agreement with AffaMed Therapeutics, Inc. (</w:t>
      </w:r>
      <w:r>
        <w:rPr>
          <w:rFonts w:ascii="Times New Roman;serif" w:hAnsi="Times New Roman;serif"/>
          <w:b w:val="false"/>
          <w:i/>
          <w:color w:val="000000"/>
          <w:sz w:val="20"/>
        </w:rPr>
        <w:t>the Affamed Agreement</w:t>
      </w:r>
      <w:r>
        <w:rPr>
          <w:rFonts w:ascii="Times New Roman;serif" w:hAnsi="Times New Roman;serif"/>
          <w:b w:val="false"/>
          <w:color w:val="000000"/>
          <w:sz w:val="20"/>
        </w:rPr>
        <w:t xml:space="preserve">) and our Exclusive Negotiation Agreement (the </w:t>
      </w:r>
      <w:r>
        <w:rPr>
          <w:rFonts w:ascii="Times New Roman;serif" w:hAnsi="Times New Roman;serif"/>
          <w:b w:val="false"/>
          <w:i/>
          <w:color w:val="000000"/>
          <w:sz w:val="20"/>
        </w:rPr>
        <w:t>Negotiation Agreement</w:t>
      </w:r>
      <w:r>
        <w:rPr>
          <w:rFonts w:ascii="Times New Roman;serif" w:hAnsi="Times New Roman;serif"/>
          <w:b w:val="false"/>
          <w:color w:val="000000"/>
          <w:sz w:val="20"/>
        </w:rPr>
        <w:t>) with Fuji Pharma Co., Ltd. Revenue is recognized as identified performance obligations are satisfied.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Operating Expense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date, our research and development expense has consisted primarily of external and internal costs related to the development of our product candidates and development programs. Our research and development expense primarily includes: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External costs, including:</w:t>
      </w:r>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Times New Roman;serif" w:hAnsi="Times New Roman;serif"/>
          <w:b w:val="false"/>
          <w:color w:val="000000"/>
          <w:sz w:val="20"/>
        </w:rPr>
        <w:t>expenses incurred in connection with planning, preparing for and conducting clinical trials, including investigator grants and site payments, and pass-through expenses and expenses incurred under agreements with our contract research organizations (</w:t>
      </w:r>
      <w:r>
        <w:rPr>
          <w:rFonts w:ascii="Times New Roman;serif" w:hAnsi="Times New Roman;serif"/>
          <w:b w:val="false"/>
          <w:i/>
          <w:color w:val="000000"/>
          <w:sz w:val="20"/>
        </w:rPr>
        <w:t>CROs</w:t>
      </w:r>
      <w:r>
        <w:rPr>
          <w:rFonts w:ascii="Times New Roman;serif" w:hAnsi="Times New Roman;serif"/>
          <w:b w:val="false"/>
          <w:color w:val="000000"/>
          <w:sz w:val="20"/>
        </w:rPr>
        <w:t>), central laboratories and other vendors and service providers engaged to conduct our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expenses incurred in connection with the discovery and preclinical development of our product candidates, including under agreements with third parties, such as consultants and CROs;</w:t>
      </w:r>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Times New Roman;serif" w:hAnsi="Times New Roman;serif"/>
          <w:b w:val="false"/>
          <w:color w:val="000000"/>
          <w:sz w:val="20"/>
        </w:rPr>
        <w:t>costs associated with consultants for chemistry, manufacturing, and control (</w:t>
      </w:r>
      <w:r>
        <w:rPr>
          <w:rFonts w:ascii="Times New Roman;serif" w:hAnsi="Times New Roman;serif"/>
          <w:b w:val="false"/>
          <w:i/>
          <w:color w:val="000000"/>
          <w:sz w:val="20"/>
        </w:rPr>
        <w:t>CMC</w:t>
      </w:r>
      <w:r>
        <w:rPr>
          <w:rFonts w:ascii="Times New Roman;serif" w:hAnsi="Times New Roman;serif"/>
          <w:b w:val="false"/>
          <w:color w:val="000000"/>
          <w:sz w:val="20"/>
        </w:rPr>
        <w:t>) development, and other manufacturing-related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Times New Roman;serif" w:hAnsi="Times New Roman;serif"/>
          <w:b w:val="false"/>
          <w:color w:val="000000"/>
          <w:sz w:val="20"/>
        </w:rPr>
        <w:t>the cost of manufacturing compounds for use in our nonclinical studies and clinical trials, including under agreements with third parties, such as consultants and third-party contract development and manufacturing organizations (</w:t>
      </w:r>
      <w:r>
        <w:rPr>
          <w:rFonts w:ascii="Times New Roman;serif" w:hAnsi="Times New Roman;serif"/>
          <w:b w:val="false"/>
          <w:i/>
          <w:color w:val="000000"/>
          <w:sz w:val="20"/>
        </w:rPr>
        <w:t>CDMOs</w:t>
      </w:r>
      <w:r>
        <w:rPr>
          <w:rFonts w:ascii="Times New Roman;serif" w:hAnsi="Times New Roman;serif"/>
          <w:b w:val="false"/>
          <w:color w:val="000000"/>
          <w:sz w:val="20"/>
        </w:rPr>
        <w:t>); and</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costs related to compliance with development regulatory requirements.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Internal costs, including:</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employee-related expenses, including salaries, related benefits, travel and share-based compensation expenses for employees engaged in research and development functions;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costs of laboratory supplies and acquiring and developing preclinical study materials; and</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facilities, depreciation and other expenses, which include allocated expenses for rent and maintenance of facilities, and supplies.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performed at each reporting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There are numerous factors associated with the successful research and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preclinical and clinical development programs and regulatory pathways. Product candidates in later stages of development generally have higher development costs than those in earlier stages of development.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research and development expenses may vary significantly based on a wide variety of factors, such as: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and scope, rate of progress, expense and results of our preclinical development activities and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of trials required for regulatory approval;</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of sites included in each of our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length of time required to enroll and randomize eligible patients in our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of patients that participate in our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ability to identify appropriate patients eligible for our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of doses that patients receive during our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drop-out or discontinuation rates of patients;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potential additional safety monitoring requested by regulatory agencies;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duration of patient participation in the clinical trials and follow-up;</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phase of development of the product candidate;</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efficacy and safety profile of the product candidate;</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timing, receipt, and terms of any approvals from applicable regulatory authorities including the FDA and non-U.S. regulators;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maintaining a continued acceptable safety profile of our product candidates following approval, if any;</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cost and timing of manufacturing our product candidates and our reliance on third-party CDMOs;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significant and changing government regulation and regulatory guidance;</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the impact of any business interruptions to our operations or to those of the third parties with whom we work, including consolidation of third-party CROs, CDMOs or preclinical and clinical research sites involved in our product development programs;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adverse effects on the financial markets, the global economy, the supply chain and our expenses due to pandemics or other epidemic diseases, geopolitical instability, government shutdowns and RIFs, inflation, rising interest rates, government tariffs and other factors; and</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extent to which we establish additional strategic collaborations or other arrangements.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research and development of any of our product candidates could significantly change the costs and timing associated with the research and development of that product candidate. The process of conducting the necessary preclinical and clinical research and development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salaries, bonuses, related benefits and stock-based compensation expense for personnel in executive, legal, finance and administrative functions; professional fees for legal, consulting, accounting and audit services; and travel expenses, technology costs and other allocated expenses. We expense general and administrative expenses in the periods in which they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Results of Operations for the Three and Nine Months Ended December 31, 2025</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results of our operations for the three and nine months ended December 31, 2025 and 2024 (in thousands):</w:t>
      </w:r>
    </w:p>
    <w:tbl>
      <w:tblPr>
        <w:tblW w:w="7994" w:type="dxa"/>
        <w:jc w:val="center"/>
        <w:tblInd w:w="0" w:type="dxa"/>
        <w:tblLayout w:type="fixed"/>
        <w:tblCellMar>
          <w:top w:w="28" w:type="dxa"/>
          <w:left w:w="28" w:type="dxa"/>
          <w:bottom w:w="28" w:type="dxa"/>
          <w:right w:w="28" w:type="dxa"/>
        </w:tblCellMar>
      </w:tblPr>
      <w:tblGrid>
        <w:gridCol w:w="906"/>
        <w:gridCol w:w="794"/>
        <w:gridCol w:w="804"/>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w:t>
              <w:br/>
              <w:t>December 31,</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(37,783)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i/>
          <w:color w:val="000000"/>
          <w:sz w:val="20"/>
        </w:rPr>
        <w:t>Revenue</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$0.3 million and $0.8 million in sublicense and other revenue for the three and nine months ended December 31, 2025, as compared to $0.2 million and $0.5 million for the three and nine months ended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respectively. The increase in sublicense and other revenue is due to timing of revenue recognized under the AffaMed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Absent the achievement of milestones under the AffaMed Agreement, or the execution of similar agreements in the future, if any, we expect sublicense and other revenue to stay materially consistent in future periods as we continue to recognize revenue under the AffaMed Agreement.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 for the three and nine months ended December 31, 2025 and 2024 (in thousands):</w:t>
      </w:r>
    </w:p>
    <w:tbl>
      <w:tblPr>
        <w:tblW w:w="10205" w:type="dxa"/>
        <w:jc w:val="center"/>
        <w:tblInd w:w="0" w:type="dxa"/>
        <w:tblLayout w:type="fixed"/>
        <w:tblCellMar>
          <w:top w:w="28" w:type="dxa"/>
          <w:left w:w="28" w:type="dxa"/>
          <w:bottom w:w="28" w:type="dxa"/>
          <w:right w:w="28" w:type="dxa"/>
        </w:tblCellMar>
      </w:tblPr>
      <w:tblGrid>
        <w:gridCol w:w="1827"/>
        <w:gridCol w:w="1589"/>
        <w:gridCol w:w="159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27"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December 31,</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and nonclinical studies and development expense by program</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Fasedienol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clinical and nonclinical studies and development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all 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was $14.2 million and $41.9 million for the three and nine months ended December 31, 2025, as compared to $11.3 million and $29.2 million for the three and nine months ended December 31, 2024,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of $2.9 million in research and development expense for the three months ended December 31, 2025 as compared to the same period in Fiscal 2025 was primarily due to an increase in clinical development expense of $4.0 million related to our U.S. registration-directed PALISADE program for fasedienol for the acute treatment of SAD, and an increase of $0.3 million in connection with the increased headcount, partially offset by a decrease in expense related to our other product candidates.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of $12.7 million in research and development expense for the nine months ended December 31, 2025 as compared to the same period in Fiscal 2025 was primarily due to an increase in clinical development expense of $13.7 million, related to our U.S. registration-directed PALISADE program for fasedienol for the acute treatment of SAD and an increase of $0.6 million in connection with increased headcount, partially offset by a decrease in expense related to our other product candidates.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we began realizing a decrease in research and development expenses as a result of cash preservation measures implemented following the announcement of top-line results from our PALISADE-3 clinical trial. We expect research and development expenses to continue to decrease in future periods as a result of these cash preservation measures. However, should PALISADE-4 be successful, we expect that our research and development expense will increase over the next fiscal year as we continue to advance research and development of our pherine product candidates and maintain, expand, protect and enforce our intellectual property portfolio, and hire additional headcount. At this time, we cannot accurately estimate or know the nature, timing and costs of the efforts that will be necessary to complete the nonclinical and clinical development of any pherine product candidates we are developing or may develop. A change in the outcome of any number of variables could significantly alter the costs and timing associated with the development of any of our pherine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was $5.6 million and $14.3 million for the three and nine months ended December 31, 2025, as compared to $4.0 million and $12.8 million for the three and nine months ended December 31, 2024,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increases in general and administrative expense for the three and nine months ended December 31, 2025, as compared to the same periods in 2024, are primarily due to an increase in consulting and professional fees.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we began realizing a decrease in general and administrative expenses as a result of cash preservation measures implemented following the announcement of top-line results from our PALISADE-3 clinical trial. We expect general and administrative expenses to continue to decrease in future periods as a result of these cash preservation measures. However, should PALISADE-4 be successful and in the event our PALISADE program advances towards a submission of an NDA to the FDA, we expect that our general and administrative expenses will substantially increase. We also expect to continue to incur routine expenses associated with being a public company, including costs of accounting, audit, legal, regulatory and tax-related services associated with maintaining compliance with Nasdaq Capital Market and SEC requirements, as well as director and officer insurance costs and investor and public relations costs.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Interest income, net, decreased for the three and nine months ended December 31, 2025 as compared to the same period in Fiscal 2025 primarily due to a decrease in amounts invested in interest bearing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240" w:after="283"/>
        <w:jc w:val="both"/>
        <w:rPr/>
      </w:pPr>
      <w:r>
        <w:rPr>
          <w:rFonts w:ascii="Times New Roman;serif" w:hAnsi="Times New Roman;serif"/>
          <w:b w:val="false"/>
          <w:color w:val="000000"/>
          <w:sz w:val="20"/>
        </w:rPr>
        <w:t xml:space="preserve">Since our inception, we have not generated any revenue from product sales and have incurred significant operating losses and negative cash flows from our operations. To date, as of December 31, 2025, we have financed our operations and technology acquisitions primarily through the issuance and sale of our equity securities for cash proceeds of approximately $372.5 million, as well as from an aggregate of approximately $22.7 million of government research grant awards (excluding the fair market value of government-sponsored and funded clinical trials), strategic collaboration payments, intellectual property licensing payments, and other revenues. Additionally, we have issued equity securities with an approximate value at issuance of $41.3 million for non-cash acquisitions of product licenses, consideration for our acquisition of Pherin Pharmaceuticals, Inc. in February 2023 (the </w:t>
      </w:r>
      <w:r>
        <w:rPr>
          <w:rFonts w:ascii="Times New Roman;serif" w:hAnsi="Times New Roman;serif"/>
          <w:b w:val="false"/>
          <w:i/>
          <w:color w:val="000000"/>
          <w:sz w:val="20"/>
        </w:rPr>
        <w:t>Pherin Acquisition</w:t>
      </w:r>
      <w:r>
        <w:rPr>
          <w:rFonts w:ascii="Times New Roman;serif" w:hAnsi="Times New Roman;serif"/>
          <w:b w:val="false"/>
          <w:color w:val="000000"/>
          <w:sz w:val="20"/>
        </w:rPr>
        <w:t>), and in settlements of certain liabilities, including liabilities for professional services rendered to us or as compensation for such services.</w:t>
      </w:r>
    </w:p>
    <w:p>
      <w:pPr>
        <w:pStyle w:val="TextBody"/>
        <w:bidi w:val="0"/>
        <w:spacing w:lineRule="auto" w:line="288" w:before="200" w:after="283"/>
        <w:jc w:val="both"/>
        <w:rPr/>
      </w:pPr>
      <w:r>
        <w:rPr>
          <w:rFonts w:ascii="Times New Roman;serif" w:hAnsi="Times New Roman;serif"/>
          <w:b w:val="false"/>
          <w:color w:val="000000"/>
          <w:sz w:val="20"/>
        </w:rPr>
        <w:t>In addition, we received net proceeds of approximately $93.5 million from an underwritten public offering of our securities in October 2023 (</w:t>
      </w:r>
      <w:r>
        <w:rPr>
          <w:rFonts w:ascii="Times New Roman;serif" w:hAnsi="Times New Roman;serif"/>
          <w:b w:val="false"/>
          <w:i/>
          <w:color w:val="000000"/>
          <w:sz w:val="20"/>
        </w:rPr>
        <w:t>October 2023 Public Offering</w:t>
      </w:r>
      <w:r>
        <w:rPr>
          <w:rFonts w:ascii="Times New Roman;serif" w:hAnsi="Times New Roman;serif"/>
          <w:b w:val="false"/>
          <w:color w:val="000000"/>
          <w:sz w:val="20"/>
        </w:rPr>
        <w:t>), and $1.5 million in connection with the execution of the Negotiation Agreement with Fuji Pharma Co., Ltd. in September 2023.</w:t>
      </w:r>
    </w:p>
    <w:p>
      <w:pPr>
        <w:pStyle w:val="TextBody"/>
        <w:bidi w:val="0"/>
        <w:spacing w:lineRule="auto" w:line="288" w:before="200" w:after="283"/>
        <w:jc w:val="both"/>
        <w:rPr/>
      </w:pPr>
      <w:r>
        <w:rPr>
          <w:rFonts w:ascii="Times New Roman;serif" w:hAnsi="Times New Roman;serif"/>
          <w:b w:val="false"/>
          <w:color w:val="000000"/>
          <w:sz w:val="20"/>
        </w:rPr>
        <w:t xml:space="preserve">In May 2021, we entered into an Open Market Sale Agreement (the </w:t>
      </w:r>
      <w:r>
        <w:rPr>
          <w:rFonts w:ascii="Times New Roman;serif" w:hAnsi="Times New Roman;serif"/>
          <w:b w:val="false"/>
          <w:i/>
          <w:color w:val="000000"/>
          <w:sz w:val="20"/>
        </w:rPr>
        <w:t>Sales Agreement</w:t>
      </w:r>
      <w:r>
        <w:rPr>
          <w:rFonts w:ascii="Times New Roman;serif" w:hAnsi="Times New Roman;serif"/>
          <w:b w:val="false"/>
          <w:color w:val="000000"/>
          <w:sz w:val="20"/>
        </w:rPr>
        <w:t>) with Jefferies LLC (</w:t>
      </w:r>
      <w:r>
        <w:rPr>
          <w:rFonts w:ascii="Times New Roman;serif" w:hAnsi="Times New Roman;serif"/>
          <w:b w:val="false"/>
          <w:i/>
          <w:color w:val="000000"/>
          <w:sz w:val="20"/>
        </w:rPr>
        <w:t>Jefferies</w:t>
      </w:r>
      <w:r>
        <w:rPr>
          <w:rFonts w:ascii="Times New Roman;serif" w:hAnsi="Times New Roman;serif"/>
          <w:b w:val="false"/>
          <w:color w:val="000000"/>
          <w:sz w:val="20"/>
        </w:rPr>
        <w:t>) as sales agent, with respect to an at-the-market offering program, under which we were permitted, at our option, to offer and sell, from time to time, shares of our common stock having an aggregate offering price of up to $75.0 million. In February 2024, the aggregate offering price available under the Sales Agreement was increased to up to $100 million, and in June 2025, the aggregate offering price available under the Sales Agreement was increased to up to $175 million. During the three and nine months ended December 31, 2025, we sold an aggregate of 604,405 and 10,403,244 shares under the Sales Agreement, for net proceeds of $2.3 million and $30.6 million, respectively. During the three and nine months ended December 31, 2024, we sold an aggregate of 428,322 shares under the Sales Agreement, for net proceeds of $1.1 million.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cash, cash equivalents, and marketable securities of approximately $61.8 million. As of February 12, 2026, the issuance date of the condensed consolidated financial statements in this Quarterly Report as of and for the three and nine months ended December 31, 2025, there is uncertainty about whether our combined cash, cash equivalents, and marketable securities will be sufficient to fund operations beyond twelve months from the issuance date of the condensed consolidated financial statements in this Report and therefore we concluded that substantial doubt existed about our ability to continue as a going concern.</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When necessary and/or advantageous, we will seek additional capital to fund our planned operations through (i) sales of our equity and/or debt securities in one or more public offerings and/or private placements, including, but not limited to sales of our securities under the Sales Agreement, (ii) non-dilutive government grants and research awards and/or (iii)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dilutive strategic partnering collaborations to advance development and commercialization of one or more of our product candidates. However, no assurance can be provided that any such sales of our securities, awards, agreements or collaborations will occur in the future. While we may make additional sales of our equity and/or debt securities, we do not have an obligation to do so.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future working capital requirements will depend on many factors, including, without limitation, potential impacts related to adjustments in the size of our staff or other actual and/or planned adjustments to our operations,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nonclinical and clinical development of our product candidates, as well as support our operating activities, we plan to seek additional financing, including both equity-based and/or debt-based capital and potentially from non-dilutive sources other than debt-based capital, and continue to carefully manage our operating costs, including, but not limited to, our clinical and nonclinical programs.</w:t>
      </w:r>
    </w:p>
    <w:p>
      <w:pPr>
        <w:pStyle w:val="TextBody"/>
        <w:bidi w:val="0"/>
        <w:spacing w:lineRule="auto" w:line="268" w:before="0" w:after="0"/>
        <w:jc w:val="both"/>
        <w:rPr/>
      </w:pPr>
      <w:r>
        <w:rPr>
          <w:rFonts w:ascii="Times New Roman;serif" w:hAnsi="Times New Roman;serif"/>
          <w:b w:val="false"/>
          <w:color w:val="000000"/>
          <w:sz w:val="20"/>
        </w:rPr>
        <w:t>There can be no assurance that future financings will be available to us in sufficient amounts, in a timely manner, or on terms acceptable to us, if at all, or that any current or future development and commercialization collaborations will generate revenue from future potential milestone payments or otherwise. Further, on February 3, 2026</w:t>
      </w:r>
      <w:r>
        <w:rPr>
          <w:rFonts w:ascii="Times New Roman;serif" w:hAnsi="Times New Roman;serif"/>
          <w:b w:val="false"/>
          <w:i/>
          <w:color w:val="000000"/>
          <w:sz w:val="20"/>
        </w:rPr>
        <w:t xml:space="preserve">, </w:t>
      </w:r>
      <w:r>
        <w:rPr>
          <w:rFonts w:ascii="Times New Roman;serif" w:hAnsi="Times New Roman;serif"/>
          <w:b w:val="false"/>
          <w:color w:val="000000"/>
          <w:sz w:val="20"/>
        </w:rPr>
        <w:t>we received a letter from the Listing Qualifications Staff of The Nasdaq Stock Market, LLC (</w:t>
      </w:r>
      <w:r>
        <w:rPr>
          <w:rFonts w:ascii="Times New Roman;serif" w:hAnsi="Times New Roman;serif"/>
          <w:b w:val="false"/>
          <w:i/>
          <w:color w:val="000000"/>
          <w:sz w:val="20"/>
        </w:rPr>
        <w:t>Nasdaq</w:t>
      </w:r>
      <w:r>
        <w:rPr>
          <w:rFonts w:ascii="Times New Roman;serif" w:hAnsi="Times New Roman;serif"/>
          <w:b w:val="false"/>
          <w:color w:val="000000"/>
          <w:sz w:val="20"/>
        </w:rPr>
        <w:t>) indicating that, based upon the closing bid price of our common stock for the previous 30 consecutive business days, we are not currently in compliance with the requirement to maintain a minimum bid price of $1.00 per share for continued listing on the Nasdaq Capital Market. While the letter has no immediate effect on the listing of our common stock on the Nasdaq Capital Market, failure to meet applicable Nasdaq continued listing standards by August 3, 2026</w:t>
      </w:r>
      <w:r>
        <w:rPr>
          <w:rFonts w:ascii="Times New Roman;serif" w:hAnsi="Times New Roman;serif"/>
          <w:b w:val="false"/>
          <w:i/>
          <w:color w:val="000000"/>
          <w:sz w:val="20"/>
        </w:rPr>
        <w:t xml:space="preserve">, </w:t>
      </w:r>
      <w:r>
        <w:rPr>
          <w:rFonts w:ascii="Times New Roman;serif" w:hAnsi="Times New Roman;serif"/>
          <w:b w:val="false"/>
          <w:color w:val="000000"/>
          <w:sz w:val="20"/>
        </w:rPr>
        <w:t>the expiration of the 180-day period in which to regain compliance, unless extended, could potentially result in a delisting of our common stock. If we are unable to regain timely compliance with the Nasdaq continued listing standards and/or obtain additional financing on a timely basis when needed, our business, financial condition, and results of operations may be harmed, the price of our common stock may decline, we may be required to reduce, defer, or discontinue certain of our research and development activities, and we may not be able to continue as a going concern.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cash and cash equivalents for the periods stated (in thousands):</w:t>
      </w:r>
    </w:p>
    <w:tbl>
      <w:tblPr>
        <w:tblW w:w="7316" w:type="dxa"/>
        <w:jc w:val="center"/>
        <w:tblInd w:w="0" w:type="dxa"/>
        <w:tblLayout w:type="fixed"/>
        <w:tblCellMar>
          <w:top w:w="28" w:type="dxa"/>
          <w:left w:w="28" w:type="dxa"/>
          <w:bottom w:w="28" w:type="dxa"/>
          <w:right w:w="28" w:type="dxa"/>
        </w:tblCellMar>
      </w:tblPr>
      <w:tblGrid>
        <w:gridCol w:w="1562"/>
        <w:gridCol w:w="1377"/>
        <w:gridCol w:w="1380"/>
        <w:gridCol w:w="243"/>
        <w:gridCol w:w="917"/>
        <w:gridCol w:w="125"/>
        <w:gridCol w:w="125"/>
        <w:gridCol w:w="125"/>
        <w:gridCol w:w="125"/>
        <w:gridCol w:w="243"/>
        <w:gridCol w:w="917"/>
        <w:gridCol w:w="177"/>
      </w:tblGrid>
      <w:tr>
        <w:trPr/>
        <w:tc>
          <w:tcPr>
            <w:tcW w:w="156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December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(50,236)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(32,035)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(13,675)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(19,760)</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(44,451)</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47,371 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74,715 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nine months ended December 31, 2025 was $50.2 million, consisting primarily of our net loss of $53.4 million, adjusted for $3.2 million of non-cash charges primarily related to stock-based compensation expense and amortization of our operating lease right-of-use asset, and $0.1 million in net changes in operating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nine months ended December 31, 2024 was $32.0 million, consisting primarily of our net loss of $37.8 million, adjusted for $3.6 million of non-cash charges primarily related to stock-based compensation expense and amortization of our operating lease right-of-use asset, and $2.2 million in net changes in operating assets and liabilities.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nine months ended December 31, 2025 was $0.8 million, consisting of purchases of marketable securities and property and equipment, partially offset by the sale and maturity of marketable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nine months ended December 31, 2024 was $13.7 million, consisting of purchases of marketable securities and property and equipment, partially offset by the sale and maturity of marketable securities.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nine months ended December 31, 2025 was $31.3 million, consisting primarily of net proceeds from the sale of common stock in at-the-market transactions under the Sales Agreement of $30.6 million, and proceeds from the issued note payable related to the insurance premium financing arrangement of $1.0 million, partially offset by repayments of the note payable.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nine months ended December 31, 2024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00" w:after="283"/>
        <w:jc w:val="both"/>
        <w:rPr/>
      </w:pPr>
      <w:r>
        <w:rPr>
          <w:rFonts w:ascii="Times New Roman;serif" w:hAnsi="Times New Roman;serif"/>
          <w:b w:val="false"/>
          <w:color w:val="000000"/>
          <w:sz w:val="20"/>
        </w:rPr>
        <w:t xml:space="preserve">There have been no other material changes in our contractual obligations and commitments during the three and nine months ended December 31, 2025, from those described under the heading “Management’s Discussion and Analysis of Financial Condition and Results of Operations—Contractual Obligations and Commitments” in our Annual Report on Form 10-K for the year ended March 31, 2025, filed with the SEC on June 17, 2025 (the </w:t>
      </w:r>
      <w:r>
        <w:rPr>
          <w:rFonts w:ascii="Times New Roman;serif" w:hAnsi="Times New Roman;serif"/>
          <w:b w:val="false"/>
          <w:i/>
          <w:color w:val="000000"/>
          <w:sz w:val="20"/>
        </w:rPr>
        <w:t>Annual Report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during the three and nine months ended December 31, 2025, as compared to the critical accounting policies and estimates disclosed in “Management’s Discussion and Analysis of Financial Condition and Results of Operations”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both"/>
        <w:rPr/>
      </w:pPr>
      <w:r>
        <w:rPr>
          <w:rFonts w:ascii="Times New Roman;serif" w:hAnsi="Times New Roman;serif"/>
          <w:b w:val="false"/>
          <w:color w:val="000000"/>
          <w:sz w:val="20"/>
        </w:rPr>
        <w:t xml:space="preserve">We are a smaller reporting company, as defined by Rule 12b-2 under the Securities and Exchange Act of 1934, as amended (the </w:t>
      </w:r>
      <w:r>
        <w:rPr>
          <w:rFonts w:ascii="Times New Roman;serif" w:hAnsi="Times New Roman;serif"/>
          <w:b w:val="false"/>
          <w:i/>
          <w:color w:val="000000"/>
          <w:sz w:val="20"/>
        </w:rPr>
        <w:t>Exchange Act</w:t>
      </w:r>
      <w:r>
        <w:rPr>
          <w:rFonts w:ascii="Times New Roman;serif" w:hAnsi="Times New Roman;serif"/>
          <w:b w:val="false"/>
          <w:color w:val="000000"/>
          <w:sz w:val="20"/>
        </w:rPr>
        <w:t>), and in Item 10(f)(1) of Regulation S-K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(principal executive officer) and our Chief Financial Officer (principal financial and accounting officer), evaluated the effectiveness of our disclosure controls and procedures as of December 31, 2025. The term “disclosure controls and procedures” as defined in Rule 13a-15(e) of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 13a-15(f) of the Exchange Act) from that described in our Annual Report that occurred during the quarter ended December 31, 2025, to which this Report relates,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0" w:after="0"/>
        <w:jc w:val="both"/>
        <w:rPr/>
      </w:pPr>
      <w:r>
        <w:rPr>
          <w:rFonts w:ascii="Times New Roman;serif" w:hAnsi="Times New Roman;serif"/>
          <w:b w:val="false"/>
          <w:i/>
          <w:color w:val="000000"/>
          <w:sz w:val="20"/>
        </w:rPr>
        <w:t xml:space="preserve">Cesario et al. v. Vistagen Therapeutics, Inc. et al. </w:t>
      </w:r>
      <w:r>
        <w:rPr>
          <w:rFonts w:ascii="Times New Roman;serif" w:hAnsi="Times New Roman;serif"/>
          <w:b w:val="false"/>
          <w:color w:val="000000"/>
          <w:sz w:val="20"/>
        </w:rPr>
        <w:t xml:space="preserve">On February 13, 2025, John Cesario and David Preka (the </w:t>
      </w:r>
      <w:r>
        <w:rPr>
          <w:rFonts w:ascii="Times New Roman;serif" w:hAnsi="Times New Roman;serif"/>
          <w:b w:val="false"/>
          <w:i/>
          <w:color w:val="000000"/>
          <w:sz w:val="20"/>
        </w:rPr>
        <w:t>Plaintiffs</w:t>
      </w:r>
      <w:r>
        <w:rPr>
          <w:rFonts w:ascii="Times New Roman;serif" w:hAnsi="Times New Roman;serif"/>
          <w:b w:val="false"/>
          <w:color w:val="000000"/>
          <w:sz w:val="20"/>
        </w:rPr>
        <w:t xml:space="preserve">) filed a civil action, </w:t>
      </w:r>
      <w:r>
        <w:rPr>
          <w:rFonts w:ascii="Times New Roman;serif" w:hAnsi="Times New Roman;serif"/>
          <w:b w:val="false"/>
          <w:i/>
          <w:color w:val="000000"/>
          <w:sz w:val="20"/>
        </w:rPr>
        <w:t>pro se</w:t>
      </w:r>
      <w:r>
        <w:rPr>
          <w:color w:val="000000"/>
        </w:rPr>
        <w:t xml:space="preserve"> </w:t>
      </w:r>
      <w:r>
        <w:rPr>
          <w:rFonts w:ascii="Times New Roman;serif" w:hAnsi="Times New Roman;serif"/>
          <w:b w:val="false"/>
          <w:color w:val="000000"/>
          <w:sz w:val="20"/>
        </w:rPr>
        <w:t xml:space="preserve">(i.e., acting on their own behalf rather than through an attorney), in the United States District Court for the Northern District of California (Case No. 4:25-cv-01510) (the </w:t>
      </w:r>
      <w:r>
        <w:rPr>
          <w:rFonts w:ascii="Times New Roman;serif" w:hAnsi="Times New Roman;serif"/>
          <w:b w:val="false"/>
          <w:i/>
          <w:color w:val="000000"/>
          <w:sz w:val="20"/>
        </w:rPr>
        <w:t>Complaint</w:t>
      </w:r>
      <w:r>
        <w:rPr>
          <w:rFonts w:ascii="Times New Roman;serif" w:hAnsi="Times New Roman;serif"/>
          <w:b w:val="false"/>
          <w:color w:val="000000"/>
          <w:sz w:val="20"/>
        </w:rPr>
        <w:t xml:space="preserve">) against the Company and its Board, certain of its executive officers, professional services and financial advisors, and industry analysts. The Plaintiffs filed an amended complaint on March 10, 2025 (the </w:t>
      </w:r>
      <w:r>
        <w:rPr>
          <w:rFonts w:ascii="Times New Roman;serif" w:hAnsi="Times New Roman;serif"/>
          <w:b w:val="false"/>
          <w:i/>
          <w:color w:val="000000"/>
          <w:sz w:val="20"/>
        </w:rPr>
        <w:t>First Amended Complaint</w:t>
      </w:r>
      <w:r>
        <w:rPr>
          <w:rFonts w:ascii="Times New Roman;serif" w:hAnsi="Times New Roman;serif"/>
          <w:b w:val="false"/>
          <w:color w:val="000000"/>
          <w:sz w:val="20"/>
        </w:rPr>
        <w:t xml:space="preserve">). On September 3, 2025, we filed a motion to dismiss the First Amended Complaint. On October 9, 2025, the Court granted Plaintiffs leave to amend the First Amended Complaint, and on November 3, 2025, the Plaintiffs filed a proposed second amended complaint (the </w:t>
      </w:r>
      <w:r>
        <w:rPr>
          <w:rFonts w:ascii="Times New Roman;serif" w:hAnsi="Times New Roman;serif"/>
          <w:b w:val="false"/>
          <w:i/>
          <w:color w:val="000000"/>
          <w:sz w:val="20"/>
        </w:rPr>
        <w:t>Second Amended Complaint</w:t>
      </w:r>
      <w:r>
        <w:rPr>
          <w:rFonts w:ascii="Times New Roman;serif" w:hAnsi="Times New Roman;serif"/>
          <w:b w:val="false"/>
          <w:color w:val="000000"/>
          <w:sz w:val="20"/>
        </w:rPr>
        <w:t>). On December 4, 2025, the Court granted Plaintiffs leave to file the Second Amended Complaint, and the Second Amended Complaint was filed with the Court on the same day. On December 24, 2025, we filed a motion to dismiss the Second Amended Complaint. A case management conference is currently scheduled for April 2, 2026. A hearing on the motion to dismiss the Second Amended Complaint is currently scheduled for April 21, 2026.</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The Plaintiffs seek compensatory and punitive damages, as well as fees and costs. The operative complaint alleges violations of Section 10(b) of the Securities Exchange Act of 1934, as amended (the </w:t>
      </w:r>
      <w:r>
        <w:rPr>
          <w:rFonts w:ascii="Times New Roman;serif" w:hAnsi="Times New Roman;serif"/>
          <w:b w:val="false"/>
          <w:i/>
          <w:color w:val="000000"/>
          <w:sz w:val="20"/>
        </w:rPr>
        <w:t>Exchange Act</w:t>
      </w:r>
      <w:r>
        <w:rPr>
          <w:rFonts w:ascii="Times New Roman;serif" w:hAnsi="Times New Roman;serif"/>
          <w:b w:val="false"/>
          <w:color w:val="000000"/>
          <w:sz w:val="20"/>
        </w:rPr>
        <w:t>), and Rule 10b-5 promulgated thereunder, along with other causes of action. The Plaintiffs allege, among other things, that the Company, and certain of its executive officers, made misleading statements and material omissions in various public disclosures concerning clinical trials for certain of the Company’s product candidates, which they allege caused plaintiffs to incur compensable losses. The Complaint also alleges that the Board, certain of the Company’s professional and financial advisors, and industry analysts aided and abetted the alleged wrongful conduct. The Company believes all allegations asserted in the Complaint are wholly without merit, and intends to defend them vigorously.</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Eller v. Vistagen Therapeutics, Inc. et al</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On January 15, 2026, a putative class action complaint (the </w:t>
      </w:r>
      <w:r>
        <w:rPr>
          <w:rFonts w:ascii="Times New Roman;serif" w:hAnsi="Times New Roman;serif"/>
          <w:b w:val="false"/>
          <w:i/>
          <w:color w:val="000000"/>
          <w:sz w:val="20"/>
        </w:rPr>
        <w:t>Class Action Complaint</w:t>
      </w:r>
      <w:r>
        <w:rPr>
          <w:rFonts w:ascii="Times New Roman;serif" w:hAnsi="Times New Roman;serif"/>
          <w:b w:val="false"/>
          <w:color w:val="000000"/>
          <w:sz w:val="20"/>
          <w:shd w:fill="FFFFFF" w:val="clear"/>
        </w:rPr>
        <w:t xml:space="preserve">) was filed by alleged stockholder Dan Eller against the Company and certain of its executive officers (the </w:t>
      </w:r>
      <w:r>
        <w:rPr>
          <w:rFonts w:ascii="Times New Roman;serif" w:hAnsi="Times New Roman;serif"/>
          <w:b w:val="false"/>
          <w:i/>
          <w:color w:val="000000"/>
          <w:sz w:val="20"/>
        </w:rPr>
        <w:t>Defendants</w:t>
      </w:r>
      <w:r>
        <w:rPr>
          <w:rFonts w:ascii="Times New Roman;serif" w:hAnsi="Times New Roman;serif"/>
          <w:b w:val="false"/>
          <w:color w:val="000000"/>
          <w:sz w:val="20"/>
          <w:shd w:fill="FFFFFF" w:val="clear"/>
        </w:rPr>
        <w:t xml:space="preserve">) in the United States District Court for the Northern District of California (Case No. 3:26-cv-00427). The Class Action Complaint alleges that the Defendants made material misrepresentations and omissions concerning the PALISADE-3 Phase 3 clinical trial and asserts claims under Sections 10(b) and 20(a) of the Exchange Act and Rule 10b-5 promulgated thereunder. Plaintiff seeks to represent a putative class of stockholders who purchased or otherwise acquired Company securities between April 1, 2024 and December 16, 2025, both dates inclusive. Plaintiff seeks unspecified damages.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believes all allegations asserted in the Class Action Complaint are wholly without merit, and intends to defend them vigorously.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Summary</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Investing in our securities involves a high degree of risk. You should carefully consider the risks and uncertainties described below, together with the other information in this Report, including our Condensed Consolidated Financial Statements and the related notes included in this Report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elsewhere in this Report and described below are not intended to be exhaustive and are not the only ones we face. Additional risks and uncertainties not presently known to us, or that we currently deem immaterial, may also impair our business operations. This Report also contains forward-looking statements that involve risks and uncertainties. Our actual results could differ materially from those anticipated in the forward-looking statements as a result of a number of factors, including the risks described below. See the section titled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color w:val="000000"/>
        </w:rPr>
      </w:pPr>
      <w:r>
        <w:rPr>
          <w:color w:val="000000"/>
        </w:rPr>
        <w:t>“</w:t>
      </w:r>
      <w:r>
        <w:rPr>
          <w:rFonts w:ascii="Times New Roman;serif" w:hAnsi="Times New Roman;serif"/>
          <w:b w:val="false"/>
          <w:i/>
          <w:color w:val="000000"/>
          <w:sz w:val="20"/>
        </w:rPr>
        <w:t>Cautionary Note Regarding Forward-Looking Statements.”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are a clinical-stage biopharmaceutical company with no approved products or revenues from product sales, and limited experience developing and commercializing new product candidates, which makes it difficult to assess our future viability;</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have incurred significant net losses since inception, and we will continue to incur substantial operating losses for the foreseeable future;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require substantial additional financing to execute our business plan, including further nonclinical and clinical development, contract manufacturing and potential commercialization of our product candidates;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raising additional capital in equity-based financing transactions will cause substantial dilution to our existing stockholders, may restrict our operations or require us to relinquish rights to our product candidates, and may require us to seek stockholder approval to authorize additional shares of our common stock;</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if we fail to regain compliance with the continued listing requirements of the Nasdaq Capital Market, our common stock may be delisted and the price of our common stock and our ability to access the capital markets could be negatively impacted; </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depend heavily on the success of our product candidates, and we cannot be certain that we will be able to obtain regulatory approval for, or successfully commercialize, any of our current or future product candidates;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failures of ongoing or future nonclinical or clinical trials of our product candidates, or material delays in the completion and/or commencement of our ongoing or planned nonclinical or clinical trials, could result in increased costs to us and could delay, prevent or limit our ability to generate revenue and continue our business;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focused on novel neuroscience drug development, a field that has seen very limited success. The ability to successfully develop product candidates in this field is extremely difficult and is subject to a number of unique challenges;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we are unable to retain or attract key management and scientific personnel, or effectively manage the impact of any potential RIFs, we may be unable to successfully produce, develop, and commercialize our product candidates;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rely on third party collaborators to assist in conducting our nonclinical studies and clinical trials and if they do not perform satisfactorily, we may not be able to obtain regulatory approval or commercialize our product candidates, or such approval or commercialization may be delayed, and our business could be substantially harmed;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operate in highly competitive and rapidly changing industries, which may result in others discovering, developing or commercializing competing products before or more successfully than we do;</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nonclinical and clinical drug development is a lengthy and expensive process, with an uncertain outcome. Our nonclinical and 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face significant competition, and if we are unable to compete effectively, we may not be able to achieve or maintain significant market penetration or improve our results of operations;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we are unable to adequately protect our proprietary technology and product candidates, or obtain and maintain issued patents that are sufficient to protect our product candidates, others could compete against us more directly, which would have a material adverse impact on our business, results of operations, financial condition and prospects;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reduction in staffing, large staff turnover, changes to key personnel on applicable regulatory review teams and/or inadequate funding for the FDA or other government agencies, including those resulting from reduced staffing levels, could hinder those agencies from performing normal business functions on which the operation of our business may rely, which could negatively impact our business; and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other risks and uncertainties, including those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we are unable to effectively manage the impact of these and other risks, our ability to operate and execute our strategic business plan would be substantially impaired. In turn, the value of our securities would be materially reduced.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The successful development of pharmaceutical products is highly uncertain.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Successful development of pharmaceutical products is highly uncertain and is dependent on numerous factors, many of which are beyond our control. Product candidates that appear promising in the early phases of development may fail to reach the market for several reasons,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or difficulties in enrollment and completion of any of our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clinical trial results may show the product candidates to be less effective than expected (for example, a clinical trial could fail to meet its primary or key secondary endpoint(s), as was the case in our PALISADE-1 and PALISADE-3 clinical trials) or have an unacceptable safety or tolerability profile;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FDA or other equivalent non-U.S. regulatory authorities may find the chemistry, manufacturing and controls, or (</w:t>
      </w:r>
      <w:r>
        <w:rPr>
          <w:rFonts w:ascii="Times New Roman;serif" w:hAnsi="Times New Roman;serif"/>
          <w:b w:val="false"/>
          <w:i/>
          <w:color w:val="000000"/>
          <w:sz w:val="20"/>
        </w:rPr>
        <w:t>CMC</w:t>
      </w:r>
      <w:r>
        <w:rPr>
          <w:rFonts w:ascii="Times New Roman;serif" w:hAnsi="Times New Roman;serif"/>
          <w:b w:val="false"/>
          <w:color w:val="000000"/>
          <w:sz w:val="20"/>
        </w:rPr>
        <w:t>) data insufficient to support the quality of our product candidates;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preclinical study results may show the product candidate to be less effective than desired or to have harmful side effects;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review of IND, NDA or similar foreign applications, preparation, discussions with the FDA or foreign regulatory authorities, a FDA or foreign regulatory authority request for additional preclinical or clinical data (such as long-term toxicology studies) or unexpected safety or manufacturing issues;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post-marketing approval requirements; or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proprietary rights of others and their competing products and technologies that may prevent our product candidates from being commercialized.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w:t>
      </w:r>
      <w:r>
        <w:rPr>
          <w:rFonts w:ascii="Times New Roman;serif" w:hAnsi="Times New Roman;serif"/>
          <w:b w:val="false"/>
          <w:i/>
          <w:color w:val="000000"/>
          <w:sz w:val="20"/>
        </w:rPr>
        <w:t>cGMPs</w:t>
      </w:r>
      <w:r>
        <w:rPr>
          <w:rFonts w:ascii="Times New Roman;serif" w:hAnsi="Times New Roman;serif"/>
          <w:b w:val="false"/>
          <w:color w:val="000000"/>
          <w:sz w:val="20"/>
        </w:rPr>
        <w:t>) and similar foreign requirements, and good clinical practices (</w:t>
      </w:r>
      <w:r>
        <w:rPr>
          <w:rFonts w:ascii="Times New Roman;serif" w:hAnsi="Times New Roman;serif"/>
          <w:b w:val="false"/>
          <w:i/>
          <w:color w:val="000000"/>
          <w:sz w:val="20"/>
        </w:rPr>
        <w:t>GCPs</w:t>
      </w:r>
      <w:r>
        <w:rPr>
          <w:rFonts w:ascii="Times New Roman;serif" w:hAnsi="Times New Roman;serif"/>
          <w:b w:val="false"/>
          <w:color w:val="000000"/>
          <w:sz w:val="20"/>
        </w:rPr>
        <w:t>)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our product candidates post-approval could adversely affect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business is highly dependent on the success of our product candidates. If we are unable to successfully complete clinical development, obtain regulatory approval for or commercialize one or more of our product candidates, or if we experience delays in doing so, our business will be materially harmed.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date, as an organization, we have not completed the development of any of our product candidates. Our future success and ability to generate revenue from our product candidates is dependent on our ability to successfully develop, obtain regulatory approval for and commercialize one or more of our product candidates. All of our product candidates will require substantial additional investment for clinical development, regulatory review and approval in one or more jurisdictions. If any of our product candidates encounters safety or efficacy problems, development delays or regulatory issues or other problems, our development plans and business would be materially harmed.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nonclinical and 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 We may not have the financial resources to continue development of or commercialize our product candidates if we experience any issues that further delay or prevent regulatory approval of, or our ability to commercialize, our product candidates,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negative or inconclusive results from our preclinical studies, clinical trials or the clinical trials of others for product candidates similar to ours, leading to a decision or requirement to conduct additional preclinical studies, clinical trials or abandon a program;</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insufficiency of our financial and other resources to complete the necessary preclinical studies, clinical trials and regulatory submissions or necessary to fund pre-commercial and commercial activities to establish sales, marketing and distribution capabilities needed to successfully commercialize an approved product;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poor effectiveness of our product candidates observed during clinical trials;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better than expected performance of control arms, such as placebo groups, which could lead to negative or inconclusive results from our clinical trials;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in enrolling and randomizing subjects in our clinical trials;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high drop-out rates of subjects from our clinical trials;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inadequate supply or quality of product candidates or other materials necessary for the conduct of our clinical trials;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higher than anticipated clinical trial or manufacturing costs;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product-related adverse events experienced by subjects in our clinical trials, including unexpected toxicity results, or by individuals using drugs or therapeutic biologics similar to our product candidates;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in submitting an IND or comparable foreign applications or delays or failure in obtaining the necessary approvals or allowances from regulators to commence a clinical trial or a suspension or termination, or hold, of a clinical trial once commenced;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inability to demonstrate to the satisfaction of the FDA or comparable foreign regulatory authorities that our product candidates are safe and effective;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conditions imposed by the FDA or comparable foreign regulatory authorities regarding the scope or design of our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unfavorable FDA or comparable regulatory authority inspection and review of our clinical trial sites;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failure of our third-party contractors or investigators to comply with regulatory requirements or the clinical trial protocol or otherwise meet their contractual obligations in a timely manner, or at all;</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and changes in regulatory requirements, policies and guidelines, including the imposition of additional regulatory oversight around clinical testing generally or with respect to our therapies in particular; or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varying interpretations of data by the FDA and comparable foreign regulatory authorities.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are a clinical-stage biopharmaceutical company with no recurring revenues from product sales or approved products. We are not profitable and have incurred losses in each period since our inception. We expect to continue to incur significant losses for the foreseeable future, and we expect these losses to increase as we continue our research and development of, and seek regulatory approvals for, and commercialization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We have no products approved for commercial sale and have generated no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$51.4 million and $29.4 million for the years ended March 31, 2025 and 2024, respectively, and we incurred a net loss of $53.4 million during the nine months ended December 31, 2025. We expect to continue to incur significant losses for the foreseeable future.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that our expenses will increase substantially in the event we: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advance our product candidates through clinical development, including as we advance these candidates into and through later-stage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seek regulatory approvals for any product candidates that successfully complete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hire additional clinical, quality control, medical, scientific and other technical personnel to support the clinical development of our product candidates;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experience an increase in headcount as we expand our research and development organization and market development and pre-commercial planning activities;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undertake any commercialization-related activities;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advance preclinical-stage product candidates into clinical development;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maintain, protect and seek to expand our intellectual property portfolio.</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high costs, uncertainties, delays and difficulties frequently encountered by companies in clinical development, especially small clinical-stage biopharmaceutical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our expenses could increase beyond our expectations if we are required by the FDA or other regulatory authorities to perform preclinical studies or clinical trials in addition to those that we currently anticipate, or if there are any delays in establishing appropriate manufacturing arrangements for or in completing our clinical trials or the development of any of our product candidates.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have never generated revenue from product sales and may never be profitable.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become and remain profitable depends on our ability to generate revenue or execute other business development arrangements. We do not expect to generate significant revenue, if any, unless and until we are able to obtain regulatory approval for, and successfully commercialize, one or more product candidates we are developing or may develop. Successful commercialization will require achievement of many key milestones, including demonstrating sufficient evidence of safety and efficacy in clinical trials, obtaining regulatory approval for these product candidates, manufacturing, marketing and selling those products for which we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do, we may never generate revenues that are significant enough for us to achieve profitability. Even if we do achieve profitability, we may not be able to sustain or increase profitability on a quarterly or annual basis.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failure to become and remain profitable may depress the market price of our common stock and could impair our ability to raise capital, expand our business, diversify our product offerings or continue our operations. If we continue to incur losses as we have since our inception, investors may not receive any return on their investment and may lose their entire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will need substantial additional financing to execute our business plan, and if we are unable to raise capital when needed, we could be forced to delay, reduce or terminate our research and development programs, pre-commercialization or commercialization efforts.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operations have consumed substantial amounts of cash since inception. As in prior periods we expect to continue to spend substantial amounts of cash to continue the preclinical and clinical development of our product candidates. These expenditures will include costs associated with general and administrative costs, facilities costs, research and development, manufacturing, conducting nonclinical experiments and clinical trials, obtaining regulatory approvals and commercialization, should the FDA approve any of our product candidates for sale. We will need to raise substantial additional capital to complete certain of our currently planned preclinical and clinical development programs, including future late-stage clinical trials. If we are able to gain marketing approval for any product candidates that we develop, we will require significant amounts of additional capital in order to launch and commercialize such product candidates. As the outcome of our ongoing research and development activities, including the outcome of future anticipated preclinical studies and clinical trials, is highly uncertain, we cannot reasonably estimate the actual amounts of additional capital necessary to successfully complete the development and commercialization, alone or with one or more collaborators of any product candidate we develop. We do not expect to generate sustainable positive operating cash flows until, and unless, we obtain approval from the FDA and other regulatory authorities and successfully commercialize one or more of our product candidates alone or with one or more collaborators.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these and other factors, we will need to seek additional capital to fund our future operating plans and requirements, including capital necessary to develop, obtain regulatory approval for, and commercialize our product candidates, alone or with one or more collaborators, and may seek additional capital in the event there exists favorable market conditions or strategic considerations, even if we believe we have sufficient funds for our current or future operating plans and requirements.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need for additional funding depends on many factors,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number and characteristics of future product candidates we pursue and their development requirements;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scope, progress, results and costs of researching, developing and commercializing our product candidates, alone or with one or more collaborators, and any other additional product candidates we may develop and pursue in the future;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timing of, and the costs involved in, obtaining marketing approvals for our product candidates and any other additional product candidates we may develop and pursue in the future;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subject to receipt of regulatory approval, revenue, if any, received from commercial sales of our product candidates or any other additional product candidates we may develop and pursue in the future;</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cost of formulating and manufacturing our product candidates, and our reliance on third-party contract development and manufacturing organizations (</w:t>
      </w:r>
      <w:r>
        <w:rPr>
          <w:rFonts w:ascii="Times New Roman;serif" w:hAnsi="Times New Roman;serif"/>
          <w:b w:val="false"/>
          <w:i/>
          <w:color w:val="000000"/>
          <w:sz w:val="20"/>
        </w:rPr>
        <w:t>CDMOs</w:t>
      </w:r>
      <w:r>
        <w:rPr>
          <w:rFonts w:ascii="Times New Roman;serif" w:hAnsi="Times New Roman;serif"/>
          <w:b w:val="false"/>
          <w:color w:val="000000"/>
          <w:sz w:val="20"/>
        </w:rPr>
        <w:t>) to do so;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extent to which we establish and maintain strategic partnerships, licensing or other collaborative arrangements necessary for the development and commercialization of our product candidates, on favorable financial terms, if at all;</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subject to regulatory approval, market acceptance of our product candidates;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headcount growth and associated costs if we expand our research and development, market development, pre-commercial and commercialization activities;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costs of preparing, filing and prosecuting patent applications, maintaining and protecting our intellectual property rights, including enforcing and defending intellectual property related claims;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costs of operating as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cash, cash equivalents, and marketable securities of $61.8 million. As of February 12, 2026, the issuance date of the condensed consolidated financial statements as of and for the three and nine months ended December 31, 2025, there is uncertainty about whether the Company’s combined cash, cash equivalents, and marketable securities will be sufficient to fund operations beyond twelve months from the issuance date of these condensed consolidated financial statements, and therefore the Company concluded that substantial doubt existed about the Company’s ability to continue as a going concern.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terms of any future financing may adversely affect the holdings or the rights of our stockholders and the issuance of additional securities, whether equity or debt, by us, or the possibility of such issuance, may cause the market price of our shares to decline. For example,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also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When necessary, including if we are unable to obtain additional funding on a timely basis and on acceptable terms, we may be required to significantly curtail, delay or terminate one or more of our research or product development programs or be unable to continue our current level of operations or otherwise capitalize on our business opportunities, as desired, which could materially affect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Currently, our neuroscience pipeline consists of five clinical-stage product candidates. We seek to maintain a process of prioritization and optimal capital allocation to maintain an appropriate balance between the development of our most advanced product candidates and indications and ensuring the development of additional potential product candidates and indications, on our own or with strategic collaborators.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psychiatric and neurological disorders,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disorders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Raising additional capital may cause substantial dilution to our stockholders, restrict our operations or require us to relinquish significant rights to our technologies or product candidates.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we raise additional capital through the sale of common stock, convertible securities or other equity securities, the ownership interest of our stockholders may be substantially diluted, and the terms of these securities could include liquidation or other preferences and anti-dilution protections that could adversely affect the rights of our common stockholders. In addition, royalty-based financing or debt financing, if available, may result in our relinquishing significant rights to valuable future revenue streams or fixed payment obligations and may involve agreements that include restrictive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team and may divert a disproportionate amount of our attention away from day-to-day activities, which may adversely affect our management team’s ability to oversee the development and commercialization of our product candidates, if approved.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we raise additional capital through collaborations, strategic alliances or marketing, distribution or licensing arrangements, or royalty-based financings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research, product development or future commercialization efforts, grant rights to develop and market product candidates that we would otherwise prefer to develop and market ourselves, obtain capital through arrangement with collaborators on terms unfavorable to us or pursue other strategies, all of which could adversely affect the holdings or the rights of our stockholders.</w:t>
      </w:r>
    </w:p>
    <w:p>
      <w:pPr>
        <w:pStyle w:val="TextBody"/>
        <w:bidi w:val="0"/>
        <w:spacing w:lineRule="auto" w:line="268" w:before="200" w:after="283"/>
        <w:jc w:val="both"/>
        <w:rPr>
          <w:rFonts w:ascii="Times New Roman;serif" w:hAnsi="Times New Roman;serif"/>
          <w:b/>
          <w:color w:val="000000"/>
          <w:sz w:val="20"/>
        </w:rPr>
      </w:pPr>
      <w:r>
        <w:rPr>
          <w:rFonts w:ascii="Times New Roman;serif" w:hAnsi="Times New Roman;serif"/>
          <w:b/>
          <w:color w:val="000000"/>
          <w:sz w:val="20"/>
        </w:rPr>
        <w:t>Risks Related to Product Development, Regulatory Approval</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regulatory approval processes of the FDA and comparable foreign regulatory authorities are lengthy, time-consuming and inherently unpredictable, and if we are ultimately unable to obtain regulatory approval for our product candidates, our business will be substantially harmed.</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We are not permitted to commercialize, market, promote or sell any product candidate in the U.S. without obtaining regulatory approval from the FDA. Foreign regulatory authorities impose similar requirements. The time required to obtain approval by the FDA and comparable foreign authorities is inherently unpredictable, but typically takes many years following the commencement of clinical trials and depends upon numerous factors, including substantial discretion of the regulatory authorities and such factors may vary among jurisdictions. For instance, jurisdictions outside of the U.S., such as China, the European Union (</w:t>
      </w:r>
      <w:r>
        <w:rPr>
          <w:rFonts w:ascii="Times New Roman;serif" w:hAnsi="Times New Roman;serif"/>
          <w:b w:val="false"/>
          <w:i/>
          <w:color w:val="000000"/>
          <w:sz w:val="20"/>
        </w:rPr>
        <w:t>EU</w:t>
      </w:r>
      <w:r>
        <w:rPr>
          <w:rFonts w:ascii="Times New Roman;serif" w:hAnsi="Times New Roman;serif"/>
          <w:b w:val="false"/>
          <w:color w:val="000000"/>
          <w:sz w:val="20"/>
        </w:rPr>
        <w:t>) or Japan, may have different requirements for regulatory approval, which may require us to conduct additional clinical, nonclinical or chemistry, manufacturing and control studies. In addition, approval policies, regulations, or the type and amount of clinical data necessary to gain approval may change during the course of a product candidate’s clinical development. For example, c</w:t>
      </w:r>
      <w:r>
        <w:rPr>
          <w:rFonts w:ascii="Times New Roman;serif" w:hAnsi="Times New Roman;serif"/>
          <w:b w:val="false"/>
          <w:color w:val="000000"/>
          <w:sz w:val="20"/>
          <w:shd w:fill="FFFFFF" w:val="clear"/>
        </w:rPr>
        <w:t xml:space="preserve">ertain early-stage clinical trials of our pherine product candidates were conducted outside of the U.S. Clinical Trials conducted in one country may not be accepted by regulatory authorities in other countries, and regulatory approval in one country does not guarantee regulatory approval in any other country. Although the FDA may accept data from clinical trials conducted outside the U.S., acceptance of these data is subject to conditions imposed by the FDA, and there can be no assurance that the FDA will accept data from trials conducted outside of the U.S. If the FDA does not accept the data from any trial that we conduct outside the U.S., it would likely result in the need for additional trials, which would be costly and time-consuming. </w:t>
      </w:r>
      <w:r>
        <w:rPr>
          <w:rFonts w:ascii="Times New Roman;serif" w:hAnsi="Times New Roman;serif"/>
          <w:b w:val="false"/>
          <w:color w:val="000000"/>
          <w:sz w:val="20"/>
        </w:rPr>
        <w:t>Moreover, to date, we have not submitted a NDA to the FDA or similar drug approval submissions to comparable foreign regulatory authorities for any product candidate. We must complete additional preclinical studies and clinical trials to demonstrate the safety and efficacy of our product candidates in humans before we will be able to seek or obtain these approvals.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Nonclinical studies and clinical trials are expensive, difficult to design and implement, can take many years to complete and are inherently uncertain as to outcome. We cannot guarantee that any nonclinical studies or clinical trials will be conducted as planned or completed on schedule, if at all. The clinical development of our product candidates is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any of our product candidates have a beneficial effect, that effect will not be detected throughout the required phase of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acceptance of the product candidate at issue.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lengthy approval process, as well as the unpredictability of nonclinical studies and clinical trial results, may result in our failing to obtain regulatory approval to market any product candidate we develop, which would substantially harm our business, results of operations and prospects. The FDA and other comparable foreign authorities have substantial discretion in the approval process and determining when or whether regulatory approval will be granted for any product candidate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that we develop. Even if we believe the data collected from future clinical trials of our product candidates are promising, such data may not be sufficient to support approval by the FDA or any other regulatory authority.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FDA or comparable foreign regulatory authorities may disagree with our regulatory plan for the development and potential approval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obtain FDA approval of our product candidates, we must, among other things, demonstrate substantial evidence of the effectiveness of such product candidates. FDA has generally considered this demonstration of substantial evidence of the effectiveness to require data gathered from at least two adequate and well-controlled clinical trials of the product candidate in the relevant patient population, or in some cases, one adequate and well-controlled trial plus other confirmatory evidence. Adequate and well-controlled clinical trials typically involve a large number of patients, have significant costs and take years to complete. The FDA or other regulatory authorities may disagree with us about whether a clinical trial is adequate and well-controlled or may request or provide feedback to suggest that we conduct additional nonclinical studies or clinical trials prior to granting any regulatory approval. In addition, there is no assurance that the doses, dosing strategy, endpoints and trial designs that we use for our clinical trials, including trials developed based on feedback from the FDA or other regulatory agencies or those that have been used for the approval of similar drugs, will be acceptable for future approvals. For example, while we have designed the PALISADE Phase 3 public speaking challenge studies in our U.S. registration-directed PALISADE program for fasedienol for the acute treatment of SAD using a public speaking challenge with SUDS as the primary endpoint based on FDA communications, the FDA has also communicated that additional studies or data are needed to support approval. For example, the Repeat Dose Study was designed to incorporate FDA feedback to evaluate the effect of repeat dosing of fasedienol, potential dosing interval for repeat dose, as well as potential dose response and duration of effect, but the FDA may ultimately determine that the study or its results are not adequate to support approval. Moreover, we plan to generate additional evidence recommended by the FDA to further characterize the clinical meaningfulness of the duration and magnitude of effect of fasedienol, but there can be no assurance that the design of our completed, ongoing and/or planned clinical trials or other activities to address FDA feedback on the development program will be satisfactory to the FDA or that the FDA will not require us to modify our trials or conduct additional clinical trials, generate additional information, or that completing these trials and other activities will result in regulatory approval, particularly given that the FDA has not granted regulatory approval to a drug on the basis of SUDS as a primary endpoint. Even if our ongoing and/or future clinical trials achieve their primary efficacy endpoint, there can be no assurance that the FDA will find them sufficient to support approval. Moreover, there are limited precedents for trial design, trial endpoints and regulatory pathway for the acute treatment of SAD and certain other therapeutic indications we are pursuing through the development of our product candidates, including fasedienol for the acute treatment of SAD, itruvone for the treatment of MDD and refisolone for the management of VMS (hot flashes) associated with menopause, which may make clinical development and regulatory approval for those product candidates more challenging.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clinical trial results may not support approval of our product candidates. In addition, our product candidates could fail to receive regulatory approval, or regulatory approval could be delayed, for many reasons, including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disagree as to the design or implementation of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not file or accept our NDA or marketing application for substantive review;</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other equivalent non-U.S. regulatory authorities may find the chemistry, manufacturing and controls, or data insufficient to support the quality of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disagree with the dosing regimen, design or implementation of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unable to demonstrate to the satisfaction of the FDA or comparable foreign regulatory authorities that our product candidates are safe and effective for any of their proposed indications;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results of our clinical trials may not meet the level of statistical significance required by the FDA or comparable foreign regulatory authorities for approval;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unable to demonstrate that our product candidates’ clinical and other benefits outweigh their safety risks;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disagree with our interpretation of data from our preclinical studies or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data collected from clinical trials of our product candidates may not be sufficient to the satisfaction of the FDA or comparable foreign regulatory authorities to support the submission of a NDA or other comparable submission in foreign jurisdictions or to obtain regulatory approval in the U.S. or elsewhere;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find deficiencies with or fail to approve the manufacturing processes or facilities of third-party manufacturers with which we contract for clinical and commercial supplies;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are dependent on third parties having accurately generated, collected, interpreted and reported data from certain preclinical studies and clinical trials that were previously conducted for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acquired our pherine product candidates from Pherin, now our wholly-owned subsidiary, and Pherin undertook research and development of such product candidates prior to our acquisitions. We had no involvement with or control over the preclinical and clinical development of our pherine product candidates prior to acquiring or licensing them from Pherin. Therefore, we are dependent, in part, on Pherin’s prior research and development efforts in accordance with the applicable protocols, legal and regulatory requirements, and scientific standards utilized by them; having accurately reported the results of all preclinical studies and clinical trials conducted with respect to such product candidates and having correctly collected and interpreted the data from these studies and trials. These risks also apply to any product candidates that we may acquire or in-license in the future, if any. If these activities were not compliant, accurate or correct, the clinical development, regulatory approval or commercialization of our pherine product candidates will be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our clinical trials fail to replicate results from earlier preclinical studies or clinical trials conducted by us or third parties, we may be unable to successfully develop, obtain regulatory approval for or commercialize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results observed from earlier preclinical studies or early-stage clinical trials of our product candidates, including positive results, may not necessarily be predictive of the results of ongoing or future clinical trials. Furthermore, our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there is a high failure rate for drugs candidate proceeding through clinical trials and there can be no assurance that any of our clinical trials will ultimately be successful. We, and many other companies in the pharmaceutical and biotechnology industries, have suffered significant setbacks in late-stage clinical trials after achieving positive results in earlier-stage development, such as the failure of our PALISADE-1 and PALISADE-3 Phase 3 clinical trials of fasedienol to meet its primary or secondary endpoints, and we cannot be certain that we will not face similar setbacks in the future. In addition to the risk of ongoing or planned clinical trials failing to meet primary endpoints, setbacks may also be caused by, among other things, preclinical findings made while clinical trials were underway or safety or efficacy observations made in preclinical studies and clinical trials, including previously unreported adverse events. Such failures or setback may have a material adverse effect on our ability to develop, obtain regulatory approval for or ultimately commercialize any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incur unexpected costs or experience material delays in completing, or ultimately be unable to complete, the contract manufacturing, nonclinical and clinical development and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obtain the requisite regulatory approvals to commercialize any of our product candidates, we must demonstrate through extensive nonclinical studies and clinical trials that our product candidates are safe and effective in humans. We have experienced, and may further experience delays in completing our contract manufacturing, clinical trials or nonclinical studies and initiating or completing additional clinical trials or nonclinical studies, including as a result of regulators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allowing or delay in allowing clinical trials to proceed under an IND or similar approval we need to initiate a clinical trial. We may also experience numerous unforeseen events during our clinical trials that could delay or prevent our ability to receive marketing approval or commercialize the product candidates we develop,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regulators, institutional review boards (</w:t>
      </w:r>
      <w:r>
        <w:rPr>
          <w:rFonts w:ascii="Times New Roman;serif" w:hAnsi="Times New Roman;serif"/>
          <w:b w:val="false"/>
          <w:i/>
          <w:color w:val="000000"/>
          <w:sz w:val="20"/>
        </w:rPr>
        <w:t>IRBs</w:t>
      </w:r>
      <w:r>
        <w:rPr>
          <w:rFonts w:ascii="Times New Roman;serif" w:hAnsi="Times New Roman;serif"/>
          <w:b w:val="false"/>
          <w:color w:val="000000"/>
          <w:sz w:val="20"/>
        </w:rPr>
        <w:t>), or other reviewing bodies such as ethics committees may not authorize us or our investigators to commence a clinical trial, or to conduct or continue a clinical trial at a prospective or specific trial site;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not reach agreement on acceptable terms with prospective CROs and clinical trial sites, the terms of which can be subject to extensive negotiation and may vary significantly among different CROs and trial sites;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experience further challenges or delays in recruiting principal investigators or study sites to lead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number of subjects or patients required for clinical trials of our product candidates may be larger than we anticipate, enrollment in these clinical trials may be insufficient or materially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third-party contractors, including CDMOs, CROs, clinical research sites or other third-parties acting on our behalf or in connection with our studies, may fail to comply with regulatory requirements or meet their contractual obligations to us in a timely manner, or at all;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have to amend clinical trial protocols submitted to regulatory authorities or conduct additional studies to reflect changes in regulatory requirements or guidance, which may be required to resubmit to an IRB and regulatory authorities for re-examination;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potential for approval policies or regulations of the FDA or the applicable foreign regulatory agencies to significantly change in a manner rendering our clinical data insufficient for 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efficacy and safety results adequate to obtain regulatory approval to market our product candidates for the indications that we are pursuing. If later-stage clinical trials do not produce favorable results, our ability to obtain regulatory approval for and commercialize our product candidates will be adversely impacted.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failure to successfully initiate and complete required nonclinical studies and clinical trials and to demonstrate the efficacy and safety necessary to obtain regulatory approval to market our product candidates would significantly harm our business. Our product candidate development costs will also increase substantially if we experience delays in testing or regulatory approvals and we may be required to obtain additional funds to complete necessary nonclinical studies or clinical trials. We cannot assure you that our nonclinical studies or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nonclinical studies or clinical trials may ultimately lead to the denial of regulatory approval of our product candidates.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clinical development activities could be materially delayed or otherwise adversely affected by difficulties enrolling and randomizing patients in our clinical trials.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experienced, and may continue to experience, difficulties in patient enrollment and randomization in our clinical trials for a variety of reasons, including the stringent entry eligibility criteria for our clinical trials. The timely completion of clinical trials requiring rigorous adherence to clinical trial protocols depends, among other things, on our ability to enroll and randomize a sufficient number of patients who qualify for and remain in the trial until its conclusion.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Patient enrollment and randomization is affected by many factors,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patient eligibility criteria defined in the protocol;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size and nature of the patient population required for analysis of the trial’s primary endpoints;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severity of the disease or condition under investigation;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proximity of patients to trial sites;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design of the trial;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recruit, train and retain clinical trial investigators and clinical research site staff with the appropriate competencies and experience through the duration of the trial;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competing clinical trials and clinicians’ and patients’ perceptions as to the potential advantages and risks of the product candidate being studied in relation to other available therapies, including any drugs that may be approved for the indications that we are investigating;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patient recruitment or referral practices of centralized recruiting firms, clinical trial sites and physicians;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ability to monitor patients adequately during and after treatment in the trial;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obtain and maintain patient consents;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risk that patients enrolled in our clinical trials will drop out of the trials before completion.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experience challenges in recruiting principal investigators and patients to participate in ongoing and future clinical trials for our product candidates if we are unable to sufficiently demonstrate the potential of such product candidates to them.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adverse events or other side effects are observed in any of our clinical trials that are related to or deemed to be caused by any of our product candidates, we may have difficulty recruiting patients to our trials and patients may drop out of our trials. Finally, business disruptions, including those relating to natural disasters (including as a result of climate change), geopolitical incidents, pandemics or macroeconomic conditions, may disrupt our clinical trials.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inability to enroll and randomize a sufficient number of patients for our clinical trials would result in significant delays or might require us to abandon one or more clinical trials or our development efforts altogether. Material delays in patient enrollment and randomization may result in increased costs, affect the timing or outcome of ongoing or planned clinical trials and the public disclosure of trial results, product candidate development and approval process and jeopardize our ability to raise additional capital and seek and obtain the regulatory approval required to commence product sales and generate revenue, which could prevent completion of these trials, adversely affect our ability to advance the development of our product candidates, cause the value of the Company to decline and limit our ability to obtain additional financing if needed.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Changes in methods of product candidate manufacturing or formulation may result in additional costs or delay.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product candidates proceed through preclinical studies and clinical development trials towards potential approval and commercialization, it is common that various aspects of the development program, such as the vendors used to manufacture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or comparable foreign regulatory authorities' notification or approval. This could delay or prevent completion of clinical development, require conducting bridging clinical trials or the repetition of one or more clinical trials, increase clinical trial costs, delay or prevent approval of our product candidates and jeopardize our ability to commence sales and generate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Even if we complete the necessary preclinical studies and clinical trials, the marketing approval process is expensive, time-consuming and uncertain and may prevent us from obtaining approvals for the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 experience in submitting and supporting the applications necessary to gain marketing approvals and expect to rely on third-party CROs and regulatory consultants to augment our internal personnel and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extensive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process of obtaining marketing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personnel and review processes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experience delays in obtaining approval or if we fail to obtain approval of any product candidates we may develop, the commercial prospects for those product candidates may be harmed, and our ability to generate revenues will be materially impaired.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Interim, topline and preliminary data from our nonclinical studies or clinical trials that we may announce or publish from time to time may change as more patient data becomes available and are subject to audit and verification procedures that could result in material changes in the final data.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may publish or publicly disclose interim, topline or preliminary data from our nonclinical studies or clinical trials. These publications or disclosures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Interim data from clinical trials that we may complete are subject to the risk that one or more of the clinical outcomes may materially change as patient enrollment continues and more patient data become available. Preliminary or topline data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 Further, disclosure of such data by us or by our competitors could result in volatility in the price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information we choose to publicly disclose regarding a particular study or clinical trial is based on what is typically extensive information, if we publicly disclose certain information, you or others may not agree with what we determine is material or otherwise appropriate information to include in our disclosure, and any information we determine not to disclose may ultimately be deemed significant with respect to future decisions, conclusions, strategies, views, activities or otherwise regarding a particular product candidate or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do not achieve our projected development and commercialization goals in the timeframes we announce and expect, the development and commercialization of our product candidates may be delayed, and our business and results of operations may be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planning purposes, we sometimes estimate the timing of the accomplishment of various scientific, clinical, regulatory and other product development activities or objectives. These milestones may include our expectations regarding the commencement or completion of scientific studies and clinical trials, the submission of regulatory filings, the timing of regulatory review or approvals, or initiation of commercialization activities or objectives. From time to time, we may publicly announce the expected timing of some of these milestones, such as the completion of an ongoing clinical trial of a product candidate,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available capital resources or capital constraints we experience;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rate of progress, costs and results of our clinical trials and research and development activities, including the extent of scheduling conflicts with participating clinicians, collaborators and trial participants;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identify, enroll and randomize patients who meet clinical trial eligibility criteria;</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receipt of approvals by the FDA and other regulatory authorities and the timing thereof;</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 actions, decisions or rules issued by regulators;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access sufficient, reliable and affordable supplies of materials used to manufacture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efforts of our collaborators with respect to the development and commercialization of our product candidates;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securing of costs related to, and timing issues associated with, product manufacturing as well as sales and marketing activities.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fail to achieve announced milestones in the timeframes we expect, the development and commercialization of our product candidates may be delayed, and our business and results of operations may be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depend heavily on the success of one or more of our current product candidates and we cannot be certain that we will be able to obtain regulatory approval for or commercialize any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not permitted to market our product candidates in the U.S. until we receive approval of a NDA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FDA advisory committee may recommend, or the FDA may require, a Risk Evaluation and Mitigation Strategies (</w:t>
      </w:r>
      <w:r>
        <w:rPr>
          <w:rFonts w:ascii="Times New Roman;serif" w:hAnsi="Times New Roman;serif"/>
          <w:b w:val="false"/>
          <w:i/>
          <w:color w:val="000000"/>
          <w:sz w:val="20"/>
        </w:rPr>
        <w:t>REMS</w:t>
      </w:r>
      <w:r>
        <w:rPr>
          <w:rFonts w:ascii="Times New Roman;serif" w:hAnsi="Times New Roman;serif"/>
          <w:b w:val="false"/>
          <w:color w:val="000000"/>
          <w:sz w:val="20"/>
        </w:rPr>
        <w:t>) safety program as a condition of approval or post-approval;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FDA advisory committee or the FDA or applicable regulatory agency may determine that there is insufficient evidence of overall effectiveness or safety in a NDA and require additional clinical studies or other information;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the applicable foreign regulatory agency may determine that the manufacturing processes or facilities of third-party contract manufacturers with which we contract do not conform to applicable requirements, including cGMPs; or</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applicable foreign regulatory agency may change its approval policies or adopt new regulations.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of these factors, many of which are beyond our control, could jeopardize our ability to obtain regulatory approval for and commercialize any current or future drug product candidate we may develop. Any such setback in our pursuit of regulatory approval for any product candidate would have a material adverse effect on our business and prospects.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In addition, all of our pherine product candidates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As drug-device combination candidates, each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Management System Regulation (</w:t>
      </w:r>
      <w:r>
        <w:rPr>
          <w:rFonts w:ascii="Times New Roman;serif" w:hAnsi="Times New Roman;serif"/>
          <w:b w:val="false"/>
          <w:i/>
          <w:color w:val="000000"/>
          <w:sz w:val="20"/>
        </w:rPr>
        <w:t>QMSR</w:t>
      </w:r>
      <w:r>
        <w:rPr>
          <w:rFonts w:ascii="Times New Roman;serif" w:hAnsi="Times New Roman;serif"/>
          <w:b w:val="false"/>
          <w:color w:val="000000"/>
          <w:sz w:val="20"/>
        </w:rPr>
        <w:t>) applicable to medical devices. Problems associated with the device component of the combination product candidate may delay or prevent 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Undesirable side effects caused by any of our product candidates could cause us or regulatory authorities to interrupt, delay or halt clinical trials and could result in a more restrictive label or the delay or denial of regulatory approval by the FDA or comparable foreign regulatory authorities. We may also observe safety or tolerability issues with our product candidates in ongoing or future clinical trials. Many compounds that initially showed promise in clinical or earlier-stage testing are later found to cause undesirable or unexpected side effects that prevent further development of the compound. Results of future clinical trials of our product candidates could reveal a high and unacceptable severity and prevalence of side effects or unexpected characteristics, despite a favorable tolerability profile observed in earlier-stage testing. 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unacceptable side effects arise in the development of our product candidates, specifically those deemed to be caused by or directly related to any of our product candidates, we, the FDA or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comparable foreign regulatory authorities could order us to cease clinical trials or deny approval of our product candidates for any or all targeted indications.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if any of our product candidates receives regulatory approval, and we or others later identify undesirable side effects caused by such product, a number of potentially significant negative consequences could result. For example,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engage in similar actions, such as patient education, certification of health care professionals or specific monitoring, if we or others later identify undesirable side effects caused by any product. Other potentially significant negative consequences associated with adverse events include: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required to suspend marketing of a product, or we may decide to remove such product from the marketplace;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regulatory authorities may withdraw or modify their approvals of our product;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required to conduct post-marketing studies;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required to change the way our product is administered;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could be subject to fines, injunctions, or the imposition of criminal or civil penalties, or be sued and held liable for harm caused to subjects or patients;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product may become less competitive,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reputation may suffer.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any of our product candidates are ultimately regulated as controlled substances, we, our CDMOs,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Before we can commercialize our product candidates in the U.S. or any market outside the U.S., the U.S. Drug Enforcement Administration (</w:t>
      </w:r>
      <w:r>
        <w:rPr>
          <w:rFonts w:ascii="Times New Roman;serif" w:hAnsi="Times New Roman;serif"/>
          <w:b w:val="false"/>
          <w:i/>
          <w:color w:val="000000"/>
          <w:sz w:val="20"/>
        </w:rPr>
        <w:t>DEA</w:t>
      </w:r>
      <w:r>
        <w:rPr>
          <w:rFonts w:ascii="Times New Roman;serif" w:hAnsi="Times New Roman;serif"/>
          <w:b w:val="false"/>
          <w:color w:val="000000"/>
          <w:sz w:val="20"/>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candidates to be controlled substances, we cannot yet give any assurance that such product candidates will not be regulated as controlled substances.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any of our product candidates are regulated as controlled substances, depending on the DEA controlled substance schedule in which the product candidates are placed or that of its foreign counterpart, we, our CDMOs, and any future distributors,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CDMOs would be subject to initial and periodic DEA inspection. If we or our CDMOs are not able to obtain or maintain any necessary DEA registrations or comparable foreign registrations, we may not be able to commercialize any product candidates that are deemed to be controlled substances or we may need to find alternative CDMOs, which would take time and cause us to incur additional costs, delaying or limiting our commercialization efforts.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have concentrated a significant portion of our research and development efforts on the treatment of neuropsychiatric and neurological disorders, a field that faces certain challenges in drug development.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focused a significant portion of our research and development efforts on addressing neuropsychiatric and neurological disorders. Efforts by pharmaceutical companies in this field have faced certain challenges in drug development. In particular, many neuropsychiatric disorders such as SAD and MDD rely on subjective assessments by clinicians and subjective patient-reported outcomes as key efficacy endpoints. This makes them more difficult to evaluate than indications with more objective endpoints. Furthermore, these indications are often subject to a placebo effect, which may make it more challenging to isolate the beneficial effects of our neuropsychiatric product candidates. There can be no guarantee that we will successfully overcome these challenges with our neuropsychiatric product candidates or that we will not encounter other challenges in the development of our other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never commercialized a product, and even if any of our product candidates is approved by the appropriate regulatory authorities for marketing and sale, it may nonetheless fail to achieve sufficient market acceptance by physicians, patients, third-party payors and others in the medical community. Certain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any,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our product candidates’ safety and efficacy to the FDA and other regulators, safety or efficacy concerns in the medical community may hinder market acceptance.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Efforts to educate the medical community and third-party payors on the benefits of our product candidates may require significant resources, including management time and financial resources, and may not be successful. For example, even if fasedienol ultimately receives regulatory approval, we may have difficulty in convincing the medical community that fasedienol has the potential to deliver promising therapeutic benefits above and beyond antidepressants.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efficacy and safety of the product;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potential advantages of the product compared to any competitive therapies;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prevalence and severity of any side effects;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whether the product is designated under physician treatment guidelines as a first-, second- or third-line therapy;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or the ability of any future collaborators, to offer the product for sale at competitive prices;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product’s convenience and ease of administration compared to alternative treatments;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willingness of the target patient population to try, and of physicians to prescribe, the product;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limitations or warnings, including distribution or use restrictions contained in the product’s approved labeling;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strength of sales, marketing and distribution support;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the standard of care for the targeted indications for the product;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availability and adequacy of coverage and reimbursement from government payors, managed care plans and other third-party payors.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failure by one or more of our product candidates that obtains regulatory approval to achieve market acceptance or commercial success would adversely affect our business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fail to develop and commercialize other product candidates, we may be unable to grow our business and our ability to achieve our strategic objectives would be impaired.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development and commercialization of our most advanced pherine product candidate, fasedienol, is currently our primary focus, as part of our longer-term growth strategy, we plan to develop other of our clinical stage pherine product candidates. We intend to evaluate internal opportunities from our existing pherine pipeline, and also may choose to in-license or acquire other product candidates to treat patients suffering from other disorders with significant unmet medical needs and limited treatment options. These other potential product candidates will require additional, time-consuming development efforts prior to commercial sale, including manufacturing, preclinical studies,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intend to devote substantial capital and resources for basic research to discover and identify additional pherine product candidates. These research programs require substantial technical, financial and human resources, whether or not any product candidates are ultimately identified. Our research programs may initially show promise in identifying potential pherine product candidates, yet fail to yield product candidates for clinical development for many reasons, including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research methodology used may not be successful in identifying potential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competitors may develop alternatives that render our product candidates obsolete;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product candidates that we develop may nevertheless be covered by third parties’ patents or other exclusive rights;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product candidate may, on further study, be shown to have harmful side effects or other characteristics that indicate it is unlikely to be effective or otherwise does not meet applicable regulatory criteria;</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product candidate may not be capable of being produced in commercial quantities at an acceptable cost, or at all;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product candidate may not be accepted as safe and effective by patients, the medical community or third-party payors.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should we seek to acquire additional product candidates, future acquisitions may entail numerous operational and financial risks,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exposure to unknown liabilities;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disruption of our business and diversion of management’s time and attention to develop acquired products or technologies;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incurrence of substantial debt, dilutive issuances of securities or depletion of cash to pay for acquisitions;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higher than expected acquisition and integration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difficulty in combining the operations and personnel of any acquired businesses with our operations and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increased amortization expenses;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impairment of relationships with key suppliers or customers of any acquired businesses due to changes in management and ownership;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inability to motivate key employees of any acquired businesses.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are unsuccessful in identifying and developing additional product candidates, either through internal development or licensing or acquisition from third parties, our potential for growth and achieving our strategic objectives may be impaired.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number of patients with the neuroscience disorders for which we are developing our product candidates has not been established with precision. If the actual number of patients with the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products may be smaller than we expect and our revenue potential and ability to achieve profitability may be materially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neuroscience pipeline includes product candidates for a variety of conditions and disorders. There is no precise method of establishing the actual number of patients with any of these conditions and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among others, our estimates as to the prevalence of SAD, MDD and vasomotor symptoms (hot flashes) due to menopause,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and other disease indications may, however, be significantly lower than we believe. Even if our prevalence estimates are correct, our product candidates may be developed for only a subset of patients with the relevant disease or disorder or our products,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revenues and our ability to achieve profitability or to meet our expectations with respect to revenues or profits.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Competitive products may reduce or eliminate the commercial opportunity for our product candidates, if approved. If our competitors develop technologies or product candidates more rapidly than we do, or their technologies or product candidates are more effective and/or safer than ours, our ability to develop and successfully commercialize our product candidates may be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clinical and commercial landscapes for the treatment of neuroscience disorders, including those we are pursuing,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We believe that a significant number of product candidates are currently under development for certain of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entitled “</w:t>
      </w:r>
      <w:r>
        <w:rPr>
          <w:rFonts w:ascii="Times New Roman;serif" w:hAnsi="Times New Roman;serif"/>
          <w:b w:val="false"/>
          <w:i/>
          <w:color w:val="000000"/>
          <w:sz w:val="20"/>
        </w:rPr>
        <w:t>Competition</w:t>
      </w:r>
      <w:r>
        <w:rPr>
          <w:color w:val="000000"/>
        </w:rPr>
        <w:t xml:space="preserve">” </w:t>
      </w:r>
      <w:r>
        <w:rPr>
          <w:rFonts w:ascii="Times New Roman;serif" w:hAnsi="Times New Roman;serif"/>
          <w:b w:val="false"/>
          <w:color w:val="000000"/>
          <w:sz w:val="20"/>
        </w:rPr>
        <w:t>in our Annual Report on Form 10-K for the fiscal year ended March 31, 2025, as filed with the SEC on June 17, 2025, for examples of the competition that our product candidates face.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are unable to develop our sales, marketing and distribution capability on our own or through collaborations with marketing partners, we will not be successful in commercializing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currently have no marketing, sales or distribution capabilities. We intend to establish a sales and marketing capabilities,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Factors that may inhibit our efforts to commercialize our product candidates on our own include: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lack of sufficient capital resources available to us in a timely manner, if at all, and on commercially reasonable terms; </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inability to recruit and retain adequate numbers of effective sales and marketing leadership and sales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inability of sales personnel to obtain access to or persuade adequate numbers of physicians to prescribe any future products;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lack of complementary products to be offered by sales personnel, which may put us at a competitive disadvantage relative to companies with more extensive product lines;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unforeseen costs and expenses associated with creating an independent sales and marketing organization.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our existing and future product candidates, we may choose to collaborate with third parties that have direct sales forces and established distribution systems to serve as an alternative to building or to augment our own sales force and distribution systems. In that case, our future product revenue would be lower than if we directly marketed or sold our product candidates, if approved, on our own.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do not establish sales and marketing capabilities successfully, either on our own or in collaboration with third parties, we will not be successful in commercializing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Product liability lawsuits against us or any of our future collaborators could divert our resources and attention, cause us to incur substantial liabilities and limit commercialization of our product candidates.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potential product liability and professional indemnity risks that are inherent in the research, development, manufacturing, marketing and use of pharmaceutical products. Currently, we have no products that have been approved for commercial sale; however, the use of our product candidates by us and any collaborators in clinical trials, and the sale of these product candidates, if approved, in the future, may expose us to liability claims. We face an inherent risk of product liability lawsuits related to the use of our product candidates in patients and will face an even greater risk if product candidates are approved by regulatory authorities and introduced commercially. Product liability claims may be brought against us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Regardless of the merits or eventual outcome, liability claims may result in: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decreased demand for any of our future approved products;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injury to our reputation;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withdrawal of clinical trial participants;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termination of clinical trial sites or entire trial programs;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significant litigation costs;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substantial monetary awards to, or costly settlements with, patients or other claimants;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product recalls or a change in the indications for which they may be used;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loss of revenue;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diversion of management and scientific resources from our business operations;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inability to commercialize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consistent with industry norms,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Cyberattacks or other failures in our telecommunications or information technology systems, or those of our collaborators, CDMOs, CROs, third-party logistics providers, distributors or other contractors or consultants, could result in information theft, data corruption and significant disruption of our business operations.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We, along with our collaborators, CDMOs, CROs, third-party logistics providers, distributors and other contractors and consultants, utilize information technology (</w:t>
      </w:r>
      <w:r>
        <w:rPr>
          <w:rFonts w:ascii="Times New Roman;serif" w:hAnsi="Times New Roman;serif"/>
          <w:b w:val="false"/>
          <w:i/>
          <w:color w:val="000000"/>
          <w:sz w:val="20"/>
        </w:rPr>
        <w:t>IT</w:t>
      </w:r>
      <w:r>
        <w:rPr>
          <w:rFonts w:ascii="Times New Roman;serif" w:hAnsi="Times New Roman;serif"/>
          <w:b w:val="false"/>
          <w:color w:val="000000"/>
          <w:sz w:val="20"/>
        </w:rPr>
        <w:t>) systems and networks to process, transmit and store electronic information, including confidential information such as proprietary business information and personal information of our employees and contractors, in connection with our business activities. As use of digital technologies has increased, our IT systems and those of our third-party service providers, strategic partners and other contractors or consultants are increasingly vulnerable to attack, damage and interruption from cyber incidents, including third parties gaining access to employee accounts using stolen or inferred credentials, computer malware (e.g., ransomware), viruses, malicious code, spamming, phishing attacks and other social engineering schemes, employee theft or misuse, human error, fraud, denial or degradation of service attacks, sophisticated nation-state and nation-state-supported actors, natural disasters, terrorism, war, telecommunication and electrical failures or other threats. Deliberate attacks and attempts to gain unauthorized access to computer systems and networks, have increased in frequency and sophistication. These threats pose a risk to the security of our, our collaborators’, CDMOs, CROs’, third-party logistics providers’, distributors’ and other contractors’ and consultants’ systems and networks, and the confidentiality, availability and integrity of our data. We may not be successful in preventing or identifying cyberattacks and may experience security breaches that may remain undetected for an extended period. Even if identified, we may be unable to adequately investigate or successfully mitigate their effects due to attackers increasingly using tools and techniques that are designed to circumvent controls, to avoid detection, and to remove or obfuscate forensic evidence. Like other companies, we have on occasion experienced, and will continue to experience, threats to our data and systems, including malicious codes and viruses, phishing, business email compromise attacks or other cyberattacks. Similarly, our collaborators, CROs, third-party logistics providers, distributors and other contractors and consultants may not be successful in protecting our clinical and other data that is stored on their systems.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which could have a material adverse effect on our business and prospects. For example, the loss of clinical trial data from completed or ongoing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seek to establish collaborations, and, if we are not able to establish them on commercially reasonable terms, we may have to alter our development and commercialization plans.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drug development programs and the potential commercialization of our product candidates will require substantial additional cash to fund expenses. We may decide to collaborate with pharmaceutical and biotechnology companies for the development and potential commercialization of those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derive revenue from research and development fees, license fees, milestone payments and royalties under any collaborative arrangement into which we enter.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Moreover, upfront payments received upon execution of collaborative agreements, such as the AffaMed Agreement, may be recorded as deferred revenue, in which case they would be recognized over the period of performance for the related performance obligations with the third-party collaborator pursuant to the applicable agreement. The period of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obligations may also be revised on a prospective basis. Assumptions related to revenue recognition for performance obligations provided over time are reviewed in each accounting period and changes are recorded in the current period. In certain circumstances, changes in assumptions related to the measure of progress for a performance obligation performed over time could result in negative revenue or the acceleration of revenue for an accounting period.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any current or future collaboration that we enter into may not be successful. The success of our current and future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future growth may depend, in part, on our ability to penetrate markets outside of the U.S., where we would be subject to additional regulatory burdens and other risks and uncertainties.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profitability may depend, in part, on our ability to develop and commercialize our product candidates with third-party collaborators in markets outside of the U.S. If we develop and commercialize our product candidates in markets outside of the U.S., we would be subject to additional risks and uncertainties,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customers’ ability to obtain reimbursement for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inability to directly control commercial activities because we are relying on third parties;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burden of complying with complex and changing foreign regulatory, tax, accounting and legal requirements;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different medical practices and customs in foreign countries affecting acceptance in the marketplace;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import or export licensing requirements;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longer accounts receivable collection times;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longer lead times for shipping;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language barriers for technical training;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reduced protection of intellectual property rights, different standards of patentability and different availability of prior art in some foreign countries as compared with the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existence of additional potentially relevant third-party intellectual property rights;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foreign currency exchange rate fluctuations;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interpretation of contractual provisions governed by foreign laws in the event of a contract dispute.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Sales of our product candidates outside of the U.S. could also be adversely affected by the imposition of governmental controls, political and economic instability, trade restrictions and changes in tariffs.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Risks Related to Managing Our Business and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depend heavily on our key senior managerial personnel, third-party consultants and others and our ability to compete in the biopharmaceutical industry depends upon our ability to retain such highly qualified personnel. The loss of their services or our inability to hire such personnel could materially harm our business.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depends, and will likely continue to depend, upon our ability to attract and retain the services of our executive officers, key senior managerial and other key senior personnel within our organization. Our executive officers and other senior employees may terminate their employment with us at any time. In addition, we may seek to reduce employee headcount in connection with cost preservation efforts. The loss of the services of executive officers and other key senior employees might impede the achievement of our operational and strategic objectives.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our ability to compete in the biopharmaceutical industry depends upon our ability to attract and retain highly qualified managerial, scientific, medical, regulatory and technical personnel. In particular, we will need to retain and, in some cases, hire, qualified personnel with expertise in clinical development and operations, preclinical research and development, manufacturing, quality management, medical and regulatory affairs, finance and accounting and other areas in connection with the continued development and commercialization of our product candidates. We currently rely, and for the foreseeable future will continue to rely, on third-party consultants and advisors, including scientific and clinical advisors, to assist us in formulating certain of our research and development objectives and activities as well as the development of certain of our commercialization strategies.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and the culture fit to be a leader in our organization. Competition to hire from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limited pool is intense, and we may be unable to hire, train, retain or motivate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Further, inflationary pressure may increase our costs, including employee compensation costs or result in employee attrition to the extent our compensation does not keep up with inflation, particularly if our competitors’ compensation does.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services of third-party consultants and advisors will continue to be available to us on a timely basis when needed, that we will be able to manage our existing consultants and advisors or that we can find qualified replacements on economically reasonable terms, or at all. Our consultants and advisors may be employed by other entities and may have commitments under consulting or advisory contracts with those entities that may limit their availability to us. If we are unable to continue to attract and retain highly qualified consultants and advisors, our ability to develop and commercialize our product candidates will be limited.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not be able to hire or retain a sufficient number of employees or employees with the required expertise to develop our product candidates or operate our business successfully.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w:t>
      </w:r>
      <w:bookmarkStart w:id="0" w:name="i506cfb0cd9364f619ede59537fb89c1c_290020"/>
      <w:bookmarkEnd w:id="0"/>
      <w:r>
        <w:rPr>
          <w:rFonts w:ascii="Times New Roman;serif" w:hAnsi="Times New Roman;serif"/>
          <w:b w:val="false"/>
          <w:color w:val="000000"/>
          <w:sz w:val="20"/>
        </w:rPr>
        <w:t>59 full-time employees. Our focus on the development of our lead product candidates requires us to optimize cash utilization and to manage and operate our business in a highly efficient manner. We cannot assure you that we will be able to hire or retain adequate staffing levels to develop our product candidates or run our operations and/or to accomplish all of the objectives that we otherwise would seek to accomplish. If we are not able to retain adequate staffing levels or effectively expand our organization by hiring new qualified employees as needed, our clinical trials may be delayed or terminated, we may not be able to successfully execute the tasks necessary to further develop and commercialize our product candidates and, accordingly, may not achieve our development and commercialization goals.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employees, independent contractors, consultants, collaborators, CDMOs and CROs may engage in misconduct or other improper activities, including non-compliance with regulatory standards and requirements, which could cause significant liability for us and harm our reputation.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consultants, collaborators, CDMOs and CROs may engage in fraudulent conduct or other illegal activity.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Misconduct by those parties could include intentional, reckless and/or negligent conduct or disclosure of unauthorized activities that violates: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study and trial protocols or the FDA regulations or similar regulations of comparable non-U.S. regulatory authorities, including those laws requiring the reporting of true, complete and accurate information to such authorities;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manufacturing standards;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federal and state healthcare fraud and abuse laws and regulations and similar laws and regulations established and enforced by comparable non-U.S. regulatory authorities;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laws that require the reporting of financial information or data accurately.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of information obtained in the course of clinical trials or creating fraudulent data in our preclinical studies or clinical trials, which could result in regulatory sanctions and cause serious harm to our reputation. 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our business and results of operations,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Unfavorable domestic or global economic or political conditions could adversely affect our business, financial condition or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either domestic or global political conditions, as well as general conditions in the domestic or global economy and in the U.S. and global financial and stock markets. Domestic and global financial and political crises cause extreme volatility and disruptions in the capital and credit markets. A severe or prolonged government shutdown and/or economic downturn, could result in a variety of risks to our business, including, weakened demand for our product candidates and our ability to raise additional capital when needed on acceptable terms, if at all. A weak or declining domestic or global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or the third parties upon whom we depend may be adversely affected by natural disasters and our business continuity and disaster recovery plans may not adequately protect us from a serious disaster.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CDMOs, or that otherwise disrupted operations, it may be difficult or, in certain cases, impossible for us to continue our business for a substantial period of time. The disaster recovery and business continuity plan we have in place may prove inadequate in the event of a serious disaster or similar event. We may incur substantial expense as a result of the limited nature of our disaster recovery and business continuity plans, which could have a material adverse effect on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Remote working arrangements could significantly increase our digital and cybersecurity risks.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Current politics in the U.S. could diminish the value of the pharmaceutical industry, thereby diminishing the value of our securities.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current political environment in the U.S. is volatile, and recent or future regulatory changes, especially at the FDA, have resulted, and may continue to result, in uncertainty throughout the pharmaceutical industry and, have an adverse effect on our business and the value of our securities. This political and regulatory uncertainty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relied upon and plan to continue to rely on third parties, such as CROs, clinical data management organizations, medical institutions and clinical investigators, to augment our internal personnel in the conduct of our clinical trials and expect to rely on these third parties to augment our efforts to conduct clinical trials of any product candidate that we develop. Our ability to complete clinical trials in a timely fashion depends on a number of key factors. These factors include protocol design, regulatory and IRB or ethics committee approval, patient enrollment rates and compliance with GCPs. In most cases, we use the services of third parties, including CROs, to carry out many of clinical trial-related activities and rely on such parties to accurately report their results. Our reliance on third parties for clinical development activities may impact or limit our control over the timing, conduct, expense and quality of our clinical trials. Moreover, the FDA and certain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and comparable foreign regulatory authorities enforce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Similar requirements may exist in foreign jurisdictions.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We remain responsible for ensuring that each of our trials is conducted in accordance with the applicable protocol, legal and regulatory requirements and scientific standards. Our failure, or the failure of our third-party contract manufacturers, to comply with applicable protocol, legal and regulatory requirements and scientific standards could result in, among other things, rejection of our clinical data, sanctions being imposed on us, including clinical holds, a refusal to file determination by the FDA, receipt of a complete response letter (</w:t>
      </w:r>
      <w:r>
        <w:rPr>
          <w:rFonts w:ascii="Times New Roman;serif" w:hAnsi="Times New Roman;serif"/>
          <w:b w:val="false"/>
          <w:i/>
          <w:color w:val="000000"/>
          <w:sz w:val="20"/>
        </w:rPr>
        <w:t>CRL</w:t>
      </w:r>
      <w:r>
        <w:rPr>
          <w:rFonts w:ascii="Times New Roman;serif" w:hAnsi="Times New Roman;serif"/>
          <w:b w:val="false"/>
          <w:color w:val="000000"/>
          <w:sz w:val="20"/>
        </w:rPr>
        <w:t>), fines, injunctions, civil penalties, delays, suspension or withdrawal of approvals, license revocation, seizures or recalls of product candidates, operating restrictions and criminal prosecutions, any of which could significantly affect our ability to achieve regulatory approval of our product candidates.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 may be deemed unreliable and the FDA or comparable foreign regulatory authorities may require us to perform additional clinical trials before approving our product candidates,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the third parties conducting clinical trials on our behalf are not our employees, and except for remedies available to us under our agreements with such independent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employees. Furthermore, at clinical trial sites, the availability of staff and trial participants has been limited due to a decrease in the number of clinical investigative sites across the globe. Accordingly, enrollment and randomization of subjects in some of our clinical trials may be slower than expected as a result of these changes in the post-COVID clinical trial landscape.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also rely on third party CDMOs and others to manufacture, store and distribute drug supplies for our clinical trials. Any performance failure on the part of these third-parties could delay clinical development or regulatory approval of our product candidates or commercialization of any resulting products, producing additional losses and depriving us of potential product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 third-party organizations we utilize may terminate their engagements with us under certain circumstances. The replacement of an existing CRO, manufacturer or other third party may result in the delay of the affected trials or otherwise adversely affect our efforts to obtain regulatory approvals and commercialize our product candidates. Although we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diversified our risk by engaging a number of CROs and other third-party organizations and there are a number of other CROs we could engage to continue these activities, we may not be able to enter into alternative arrangements or do so on commercially reasonable terms or in a timely manner.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and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use of third party CDMOs to manufacture our product candidates may increase the risk that we will not have sufficient quantities of our product candidates, raw materials, active pharmaceutical ingredients (APIs) or drug products when needed or at an acceptable cost.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party CDMOs.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currently rely on and engage third-party CDMOs to provide all of the API and the final filled and finished drug product formulation of all of our product candidates that are being used in our clinical trials and preclinical studies. Although we believe that there are several potential alternative manufacturers who could manufacture our product candidates, we may incur added costs and delays in identifying and qualifying any such replacement. However, if necessary, we can provide no assurance that we will be able to find an alternative manufacturer on acceptable terms.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third-party CDMOs we rely on from time to time may have limited or no experience manufacturing our API and final drug products. If our third-party CDMOs have difficulty or suffer delays in successfully manufacturing material that meets our specifications, it may limit supply of our product candidates and could delay our clinical trials.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Even if we are able to establish and maintain arrangements with third-party CDMOs, reliance on third-party CDMOs entails additional risks,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failure of the third-party CDMOs to comply with applicable regulatory requirements and reliance on third parties for manufacturing process development, regulatory compliance and quality assurance;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manufacturing delays if our third-party CDMOs give greater priority to the supply of other products over our product candidates or otherwise do not satisfactorily perform according to the terms of the agreement between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limitations on supply availability resulting from capacity and scheduling constraints of third parties;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possible breach of manufacturing agreements by third parties because of factors beyond our control;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possible termination or non-renewal of the manufacturing agreements by the third party CDMO, at a time that is costly or inconvenient to us;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possible misappropriation of our proprietary information, including our trade secrets and know-how.</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do not maintain our key third-party CDMO relationships, we may fail to find replacement manufacturers or develop our own manufacturing capabilities, which could delay or impair our ability to obtain regulatory approval for our product candidates. If we do find replacement third-party CDMOs, we may not be able to enter into agreements with them on terms and conditions favorable to us and there could be a substantial delay before new facilities could be qualified and registered with the FDA and other foreign regulatory authorities.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if any third-party CDMO with whom we contract fails to perform its obligations, we may be forced to manufacture the materials ourselves, for which we do not and may not ever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unique or proprietary to the original third-party contract manufacturer and we may have difficulty, or there may be contractual restrictions prohibiting us from, transferring such skills to a back-up or alternate supplier, or we may be unable to transfer such skills at all. In addition, if we are required to change third-party CDMOs for any reason, we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required to verify that the new third-party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We may be unsuccessful in demonstrating the comparability of clinical supplies, which could require the conduct of additional clinical trials. The delays associated with the verification of a new third-party CDMO could negatively affect our ability to develop product candidates or commercialize our products in a timely manner or within budget. Furthermore, a third-party CDMO may possess technology related to the manufacture of our product candidate that such third party owns independently. This would increase our reliance on such third-party CDMO or require us to obtain a license from such third-party CDMO in order to have another third party manufacture our product candidates.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any of our product candidates is approved by any regulatory agency, we intend to utilize arrangements with third-party CDMOs for the commercial production of those products. This process is difficult and time consuming and we may face competition for access to manufacturing facilities as there are a limited number of CDMOs operating under cGMPs that are capable of manufacturing our product candidates. Consequently, we may not be able to reach agreement with third-party contract manufacturers on satisfactory terms, which could delay our commercialization.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Some of our third-party CDMOs are located outside of the U.S. There is currently significant uncertainty about the future relationship between the U.S. and various other countries, including Canada, China, India, Mexico and the United Kingdom with respect to trade policies, treaties, government regulations and tariffs. Increased tariffs could potentially disrupt our existing supply chains and impose additional costs on our business. Additionally, it is possible further tariffs may be imposed that could affect imports of APIs used in our product candidates, or our business may be adversely impacted by retaliatory trade measures taken by Canada, China, India, Mexico and the United Kingdom or other countries, including restricted access to raw materials we may use in our product candidates. Given the unpredictable regulatory environment in the U.S. and uncertainty regarding how the U.S. or foreign governments will act with respect to tariffs, international trade agreements and policies, further governmental action related to tariffs, additional taxes, regulatory changes or other retaliatory trade measures in the future could occur with a corresponding detrimental impact on our business and financial condition.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failure, or the failure of our third-party CDMOs,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CDMOs to manufacture our product candidates must be evaluated by the FDA or comparable foreign regulatory authorities in connection with any NDA or other application we may submit. We do not control the manufacturing process of, and are completely dependent on, our contract manufacturing partners for compliance with cGMPs and similar foreign requirements. If our third-party contract manufacturers cannot successfully manufacture material that conforms to our specifications and the strict regulatory requirements of the FDA or others, we may not be able to secure and/or maintain regulatory approval for our product candidates manufactured at these facilities. In addition, we have no control over the ability of our third-party contract manufacturers to maintain adequate quality control, quality assurance and qualified personnel. If the FDA finds deficiencies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Third-party contract manufacturers may face manufacturing or quality control problems causing drug substance production and shipment delays or a situation where the contractor may not be able to maintain compliance with the applicable cGMP requirements. Any failure to comply with cGMP and similar foreign requirements or other FDA and comparable foreign regulatory requirements could adversely affect our clinical research activities and our ability to develop our product candidates and market our products, if approved.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FDA and other foreign regulatory authorities require our third-party CDMOs to register manufacturing facilities. The FDA and corresponding foreign regulators also inspect these facilities to confirm compliance with cGMPs and similar foreign requirements.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Failure of any third-party CDMO to comply with cGMP requirements for applicable drug/device combination products could significantly affect supplies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each of our current clinical-stage pherine product candidates, fasedienol, itruvone, refisolone, PH15, and PH284, will be considered drug-device combination products. Third-party CDMOs may not be able to comply with cGMP requirements applicable to drug/device combination products, including applicable provisions of the FDA’s or a comparable foreign regulatory authority’s drug cGMP regulations, device cGMP requirements embodied in the QMSR or similar regulatory requirements outside the U.S. Our failure, or the failure of our third-party contract manufacturers,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comply with applicable regulations could result in material adverse effects,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any third-party CDMO of our product candidates is unable to increase the scale of its production of our product candidates or increase the product yield of its manufacturing, then our manufacturing costs may increase and commercialization may be delayed.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produce sufficient quantities to meet the demand for clinical trials and, if approved, subsequent commercialization of our product candidates, our third-party CDMOs will be required to increase their production and optimize their manufacturing processes while maintaining the quality of our product candidates. The transition to larger scale production could prove difficult. In addition, if our third-party CDMOs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need to maintain licenses for APIs from third parties to develop and commercialize some of our product candidates, which could increase our development costs and delay our ability to commercialize those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Should we decide to use any APIs in any of our product candidates that are proprietary to one or more third parties, we would need to maintain licenses to those APIs from those third parties. If we are unable to gain or continue to access rights to these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U.S. and requirements of comparable foreign regulatory authorities. In addition, we will be subject to continued compliance with cGMP and similar foreign requirements and GCP requirements for any clinical trials that we conduct post-approval.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Manufacturers and manufacturers’ facilities are required to comply with extensive FDA and comparable foreign regulatory authority requirements, including ensuring that quality control and manufacturing procedures conform to cGMP and similar foreign regulations and applicable product tracking and tracing requirements. As such, we and our contract manufacturers will be subject to continual review and inspections to assess compliance with cGMP and similar foreign requirements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restrictions on the marketing or manufacturing of our products, withdrawal of the product from the market or voluntary product recalls;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fines, warning letters or holds on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refusal by the FDA or comparable foreign regulatory authorities to approve pending applications or supplements to approved applications filed by us or suspension or withdrawal of approvals;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product seizure or detention or refusal to permit the import or export of our product candidates;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FDA and certain foreign regulatory authorities strictly regulate marketing, labeling, advertising and promotion of products that are placed on the market. Products may be promoted only for the approved indications and in accordance with the provisions of the approved label. The policies of the FDA and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0"/>
        <w:jc w:val="both"/>
        <w:rPr/>
      </w:pPr>
      <w:r>
        <w:rPr/>
      </w:r>
    </w:p>
    <w:p>
      <w:pPr>
        <w:pStyle w:val="TextBody"/>
        <w:bidi w:val="0"/>
        <w:spacing w:lineRule="auto" w:line="276" w:before="0" w:after="200"/>
        <w:jc w:val="both"/>
        <w:rPr>
          <w:rFonts w:ascii="Times New Roman;serif" w:hAnsi="Times New Roman;serif"/>
          <w:b/>
          <w:i/>
          <w:color w:val="000000"/>
          <w:sz w:val="20"/>
        </w:rPr>
      </w:pPr>
      <w:r>
        <w:rPr>
          <w:rFonts w:ascii="Times New Roman;serif" w:hAnsi="Times New Roman;serif"/>
          <w:b/>
          <w:i/>
          <w:color w:val="000000"/>
          <w:sz w:val="20"/>
        </w:rPr>
        <w:t>While we have in the past and may in the future seek designations for our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FDA and comparable foreign regulatory authorities offer certain designations for product candidates. These programs are designed to encourage the research and development of product candidates that are intended to address serious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conditions. These designations may confer benefits such as additional interaction with regulatory authorities and eligibility for expedited review procedures.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 For example, we have in the past and may in the future seek fast track designation and/or Breakthrough Therapy designation for some of our product candidates. The FDA has broad discretion whether or not to grant these designations, so even if we believe a particular product candidate is eligible for this designation, there can be no assurance that the FDA would decide to grant it.</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The FDA has granted fast track designation for development of fasedienol for the acute treatment of SAD, for development of itruvone for the treatment of MDD, and for development of AV-101 for the adjunctive treatment of MDD and the treatment of neuropathic pain, and we may seek fast track designation for some of our other pherine product candidates. If a drug or biologic is intended for the treatment of a serious or life-threatening condition and the therapy demonstrates the potential to address unmet medical needs for this condition, the therapy sponsor may be eligible for Fast Track designation.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NDA is submitted, the application may be eligible for priority review. A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The receipt of fast track designation for development of fasedienol for acute treatment of SAD, for itruvone for the treatment of MDD and AV-101 for the adjunctive treatment of MDD and for the treatment of neuropathic pain, and any future receipt of fast track designation for other product candidates, does not guarantee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A breakthrough therapy is defined as a drug or biologic that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a product candidate that has been designated as a Breakthrough Therapy, interaction and communication between the FDA and the sponsor of the trial can help to identify the most efficient path for clinical development while minimizing the number of patients placed in ineffective control regimens. Product candidates receiving Breakthrough Therapy designation also receive the same benefits associated with fast track designation, described above. Designation as a Breakthrough Therapy is within the sole discretion of the FDA. Accordingly, even if we believe one of our product candidates meets the criteria for designation as a Breakthrough Therapy, the FDA may disagree and instead determine not to make such designation. For example, the FDA has declined to grant our requests for breakthrough therapy designation for fasedienol for the acute treatment of SAD.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Some of our programs have been partially supported by government grant awards. Although we do not currently rely on government funding nor do we have a present intent to seek further grant funding from governmental agencies, should that change, such funding may not be available to us in the future or subject us to federal regulations such as “march-in” rights, certain reporting requirements and a preference for U.S. industry.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Currently, we do not rely on grant funding from government agencies for our development programs, and we do not have a present intent to seek grant funding from government agencies. While not a current priority, we may apply for grant funding from governmental agencies in the future. However, funding by these governmental agencies may be significantly reduced or eliminated in the future for a number of reasons. For example, some programs are subject to a yearly appropriations process in Congress. In addition, we may not receive full funding under current or future grants because of budgeting constraints of the agency administering the program or unsatisfactory progress on the study being funded. Therefore, we cannot assure you that we will receive any future grant funding from any government agencies, or, that if received, we will receive the full amount of the particular grant award. Any such reductions could delay the development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Moreover, any intellectual property rights generated through the use of U.S. government funding are subject to the Bayh-Dole Act of 1980 (</w:t>
      </w:r>
      <w:r>
        <w:rPr>
          <w:rFonts w:ascii="Times New Roman;serif" w:hAnsi="Times New Roman;serif"/>
          <w:b w:val="false"/>
          <w:i/>
          <w:color w:val="000000"/>
          <w:sz w:val="20"/>
        </w:rPr>
        <w:t>Bayh-Dole Act</w:t>
      </w:r>
      <w:r>
        <w:rPr>
          <w:rFonts w:ascii="Times New Roman;serif" w:hAnsi="Times New Roman;serif"/>
          <w:b w:val="false"/>
          <w:color w:val="000000"/>
          <w:sz w:val="20"/>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(1) adequate steps have not been taken to commercialize the invention; (2) government action is necessary to meet public health or safety needs; or (3) government action is necessary to meet requirements for public use under federal regulations, which we refer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w:t>
      </w:r>
    </w:p>
    <w:p>
      <w:pPr>
        <w:pStyle w:val="TextBody"/>
        <w:bidi w:val="0"/>
        <w:spacing w:before="0" w:after="0"/>
        <w:jc w:val="both"/>
        <w:rPr/>
      </w:pPr>
      <w:r>
        <w:rPr/>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As a result of any future arrangement involving government funding, and if we make inventions as a result of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w:t>
      </w:r>
    </w:p>
    <w:p>
      <w:pPr>
        <w:pStyle w:val="TextBody"/>
        <w:bidi w:val="0"/>
        <w:spacing w:lineRule="auto" w:line="276" w:before="0" w:after="200"/>
        <w:jc w:val="both"/>
        <w:rPr>
          <w:rFonts w:ascii="Times New Roman;serif" w:hAnsi="Times New Roman;serif"/>
          <w:b/>
          <w:i/>
          <w:color w:val="000000"/>
          <w:sz w:val="20"/>
        </w:rPr>
      </w:pPr>
      <w:r>
        <w:rPr>
          <w:rFonts w:ascii="Times New Roman;serif" w:hAnsi="Times New Roman;serif"/>
          <w:b/>
          <w:i/>
          <w:color w:val="000000"/>
          <w:sz w:val="20"/>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Federal and state healthcare laws and regulations that may affect our ability to operate include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fines and criminal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federal Health Insurance Portability and Accountability Act of 1996 (</w:t>
      </w:r>
      <w:r>
        <w:rPr>
          <w:rFonts w:ascii="Times New Roman;serif" w:hAnsi="Times New Roman;serif"/>
          <w:b w:val="false"/>
          <w:i/>
          <w:color w:val="000000"/>
          <w:sz w:val="20"/>
        </w:rPr>
        <w:t>HIPAA</w:t>
      </w:r>
      <w:r>
        <w:rPr>
          <w:rFonts w:ascii="Times New Roman;serif" w:hAnsi="Times New Roman;serif"/>
          <w:b w:val="false"/>
          <w:color w:val="000000"/>
          <w:sz w:val="20"/>
        </w:rPr>
        <w:t>), which prohibits, among other things,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federal Physician Payments Sunshine Act, which requires applicable manufacturers of drugs, devices, biologics and medical supplies for which payment is available under Medicare, Medicaid or the Children’s Health Insurance Program to report annually to the U.S. Centers for Medicare &amp; Medicaid Services, within the U.S. Department of Health and Human Services, information related to payments or other transfers of value made to physicians, certain non-physician practitioners including nurse practitioners, certified nurse anesthetists, anesthesiologist assistants, physician assistants, clinical nurse specialists, and certified nurse midwives as well as teaching hospitals and to disclose ownership and investment interests held by physicians and their immediate family members;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federal government price reporting laws, which require manufacturers to calculate and report complex pricing metrics in an accurate and timely manner to government programs;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federal consumer protection and unfair competition laws, which broadly regulate marketplace activities and activities that potentially harm consumers.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government-funded healthcare programs and imprisonment. If any of the above occur, our ability to operate our business and our results of operations could be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Coverage and reimbursement may be limited or unavailable in certain market segments for our product candidates, if approved, which could make it difficult for us to sell any product candidates profitably.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covered benefit under its health plan;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safe, effective and medically necessary;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appropriate for the specific patient;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cost-effective;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neither experimental nor investigational.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U.S.,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Private health insurers and other third-party payors in the U.S. often follow the coverage and reimbursement policies of government payors, including the Medicare or Medicaid programs.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Patients are unlikely to use our product candidates, once approved, unless coverage is provided and reimbursement is adequate to cover a significant portion of their cost. There is significant uncertainty related to insurance coverage and reimbursement of newly approved products. It is difficult to predict at this time what third-party payors will decide with respect to the coverage and reimbursement for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increasing efforts by governmental and other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state level, legislatures have increasingly passed legislation and implemented regulations designed to control pharmaceutical and biological product pricing, including price or patient reimbursement constraints, discounts, restrictions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certain product access and marketing cost disclosure and transparency measures, and, in some cases, designed to encourage importation from other countries and bulk purchasing.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Healthcare legislative and regulatory reform measures may have a material adverse effect on our business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U.S. Governments have shown significant interest in implementing cost-containment programs, including price controls, restrictions on reimbursement and requirements for substitution of generic products. For instance, in August 2022, the Inflation Reduction Act of 2022 (the </w:t>
      </w:r>
      <w:r>
        <w:rPr>
          <w:rFonts w:ascii="Times New Roman;serif" w:hAnsi="Times New Roman;serif"/>
          <w:b w:val="false"/>
          <w:i/>
          <w:color w:val="000000"/>
          <w:sz w:val="20"/>
        </w:rPr>
        <w:t>IRA</w:t>
      </w:r>
      <w:r>
        <w:rPr>
          <w:rFonts w:ascii="Times New Roman;serif" w:hAnsi="Times New Roman;serif"/>
          <w:b w:val="false"/>
          <w:color w:val="000000"/>
          <w:sz w:val="20"/>
        </w:rPr>
        <w:t>) was signed into law. The IRA includes several provisions that will impact our business to varying degrees, including provisions that allow the U.S. government to negotiate Medicare Part B and Part D pricing for certain high-cost drugs and biologics without generic or biosimilar competition, require companies to pay rebates to Medicare for drug prices that increase faster than inflation, create an out-of-pocket cap for Medicare Part D beneficiaries, impose new manufacturer financial liability on all drugs in Medicare Part D and delay the rebate rule that would require pass-through of pharmacy benefit manager rebates to beneficiaries. In particular, the IRA allows CMS to begin negotiating prices for certain high-cost Medicare-covered small molecule drugs after they have spent seven years on the market. On August 29, 2023, CMS announced the list of the first ten drugs that will be subject to price negotiations. Any reduction in reimbursement from Medicare or other government programs may result in a similar reduction in payments from private payors. All of our disclosed product candidates are small molecule drugs and certain of them are being developed in indications that may rely heavily on Medicare reimbursement, such as depression. Accordingly, these new price-negotiation provisions may have a negative impact on our future revenue and profits. The implementation of the IRA is currently subject to ongoing litigation challenging the constitutionality of the IRA’s Medicare drug price negotiation program. The effect of IRA on our business and the healthcare industry in general is not yet fully known. Adoption of price controls and cost-containment measures, and adoption of more restrictive policies in jurisdictions with existing controls and measures, could further limit our revenue generated from the sale of any approved products. Even if we do receive a favorable coverage determination for our products by third-party payors, coverage policies and third-party payor reimbursement rates may change at any time.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The continuing efforts of the government, insurance companies, managed care organizations and other payers of healthcare services to contain or reduce costs of healthcare may adversely affect: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demand for any of our product candidates, if approved;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ability to set a price that we believe is fair for any of our product candidates, if approved;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generate revenues and achieve or maintain profitability;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level of taxes that we are required to pay;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availability of capital.</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In addition, recent and/or future policy changes may create uncertainty for our business. In its June 2024 decision in </w:t>
      </w:r>
      <w:r>
        <w:rPr>
          <w:rFonts w:ascii="Times New Roman;serif" w:hAnsi="Times New Roman;serif"/>
          <w:b w:val="false"/>
          <w:i/>
          <w:color w:val="000000"/>
          <w:sz w:val="20"/>
        </w:rPr>
        <w:t xml:space="preserve">Loper Bright Enterprises v. Raimondo </w:t>
      </w:r>
      <w:r>
        <w:rPr>
          <w:rFonts w:ascii="Times New Roman;serif" w:hAnsi="Times New Roman;serif"/>
          <w:b w:val="false"/>
          <w:color w:val="000000"/>
          <w:sz w:val="20"/>
        </w:rPr>
        <w:t xml:space="preserve">(the </w:t>
      </w:r>
      <w:r>
        <w:rPr>
          <w:rFonts w:ascii="Times New Roman;serif" w:hAnsi="Times New Roman;serif"/>
          <w:b w:val="false"/>
          <w:i/>
          <w:color w:val="000000"/>
          <w:sz w:val="20"/>
        </w:rPr>
        <w:t>Loper Decision</w:t>
      </w:r>
      <w:r>
        <w:rPr>
          <w:rFonts w:ascii="Times New Roman;serif" w:hAnsi="Times New Roman;serif"/>
          <w:b w:val="false"/>
          <w:color w:val="000000"/>
          <w:sz w:val="20"/>
        </w:rPr>
        <w:t xml:space="preserve">), the U.S. Supreme Court overturned the longstanding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 xml:space="preserve">doctrine, under which courts were required to give deference to regulatory agencies’ reasonable interpretations of ambiguous federal statutes. The Loper Decision could result in additional legal challenges to regulations and guidance issued by federal agencies applicable to our operations, including those issued by the FDA. Additionally, the Loper Decision may result in increased regulatory uncertainty, inconsistent judicial interpretations and other impacts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agency rulemaking process.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or clearances of our product candidates, if any, may be.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Off-label use or misuse of our product candidates may harm our reputation in the marketplace or result in injuries that lead to costly product liability suits.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our product candidates are approved by the FDA or comparable foreign regulatory authorities, we may only promote or market our product candidates in a manner consistent with their FDA-approved labeling (or the label approved by foreign regulatory authorities).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or comparable foreign regulatory authorities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Reduction in staffing and/or inadequate funding for the FDA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ability of the FDA and comparable foreign regulatory authorities to review and approve new products can be affected by a variety of factors, including staffing levels, government budget and funding levels, ability to hire and retain key personnel and accept the payment of user fees, and statutory, regulatory, and policy changes. Average review times at the FDA and comparable foreign regulatory authorities,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Disruptions and personnel turnover, as a result of leadership changes, staff reductions or otherwise, or changes to key personnel on relevant regulatory review teams at the FDA, other government agencies and comparable foreign regulatory authorities may also slow the time necessary for new drugs to be reviewed and/or approved by necessary government agencies and comparable foreign regulatory authorities, which would adversely affect our business. For example, in recent years, the U.S. government has shut down several times and certain regulatory agencies, such as the FDA, have had to furlough critical employees and stop critical activities.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current U.S. Presidential administration has issued certain policies and Executive Orders directed towards reducing the employee headcount and costs associated with U.S. administrative agencies, including the FDA and the USPTO, and it remains unclear the degree to which these efforts may limit or otherwise adversely affect ability of these agencies to conduct routine activities. If funding shortages, policy changes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 Significant reductions in, or disruptions to, staffing and resources available at the USPTO could also lead to delays in the examination or approval of patent applications, or to other challenges in securing and/or enforcing our intellectual property rights.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are subject to evolving global data protection laws and regulations, which may require us to incur substantial compliance costs, and any failure or perceived failure by us to comply with such laws and regulations may harm our business and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In the U.S., HIPAA, as amended by the Health Information Technology for Economic and Clinical Health Act of 2009, and regulations implemented thereunder,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w:t>
      </w:r>
      <w:r>
        <w:rPr>
          <w:rFonts w:ascii="Times New Roman;serif" w:hAnsi="Times New Roman;serif"/>
          <w:b w:val="false"/>
          <w:i/>
          <w:color w:val="000000"/>
          <w:sz w:val="20"/>
        </w:rPr>
        <w:t>CCPA</w:t>
      </w:r>
      <w:r>
        <w:rPr>
          <w:rFonts w:ascii="Times New Roman;serif" w:hAnsi="Times New Roman;serif"/>
          <w:b w:val="false"/>
          <w:color w:val="000000"/>
          <w:sz w:val="20"/>
        </w:rPr>
        <w:t>)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w:t>
      </w:r>
      <w:r>
        <w:rPr>
          <w:rFonts w:ascii="Times New Roman;serif" w:hAnsi="Times New Roman;serif"/>
          <w:b w:val="false"/>
          <w:i/>
          <w:color w:val="000000"/>
          <w:sz w:val="20"/>
        </w:rPr>
        <w:t>CPRA</w:t>
      </w:r>
      <w:r>
        <w:rPr>
          <w:rFonts w:ascii="Times New Roman;serif" w:hAnsi="Times New Roman;serif"/>
          <w:b w:val="false"/>
          <w:color w:val="000000"/>
          <w:sz w:val="20"/>
        </w:rPr>
        <w:t>)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Other states have enacted similar consumer privacy laws that grant rights to data subjects and place privacy and security obligations on entities handling personal data of consumers or households. While we are not currently subject to laws such as the CCPA, such state privacy laws and similar legislation proposed at the state and federal level could mark the beginning of a trend toward more stringent privacy legislation in the U.S., which could increase our potential liability and adversely affect our business.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addition to our operations in the U.S., which may be subject to healthcare and other laws relating to the privacy and security of health information and other personal information, we may seek to conduct future clinical trials in the United Kingdom or the European Economic Area (the </w:t>
      </w:r>
      <w:r>
        <w:rPr>
          <w:rFonts w:ascii="Times New Roman;serif" w:hAnsi="Times New Roman;serif"/>
          <w:b w:val="false"/>
          <w:i/>
          <w:color w:val="000000"/>
          <w:sz w:val="20"/>
        </w:rPr>
        <w:t>EEA</w:t>
      </w:r>
      <w:r>
        <w:rPr>
          <w:rFonts w:ascii="Times New Roman;serif" w:hAnsi="Times New Roman;serif"/>
          <w:b w:val="false"/>
          <w:color w:val="000000"/>
          <w:sz w:val="20"/>
        </w:rPr>
        <w:t>) and may become subject to additional European data privacy laws, regulations and guidelines. We will be subject to the data protection laws of the EU and United Kingdom in relation to personal data we collect from these territories. These laws impose additional obligations and risk upon our business, including substantial expenses and changes to business operations that are required to comply with these laws. For example, the European Union General Data Protection Regulation (</w:t>
      </w:r>
      <w:r>
        <w:rPr>
          <w:rFonts w:ascii="Times New Roman;serif" w:hAnsi="Times New Roman;serif"/>
          <w:b w:val="false"/>
          <w:i/>
          <w:color w:val="000000"/>
          <w:sz w:val="20"/>
        </w:rPr>
        <w:t>EU GDPR</w:t>
      </w:r>
      <w:r>
        <w:rPr>
          <w:rFonts w:ascii="Times New Roman;serif" w:hAnsi="Times New Roman;serif"/>
          <w:b w:val="false"/>
          <w:color w:val="000000"/>
          <w:sz w:val="20"/>
        </w:rPr>
        <w:t>) went into effect in May 2018 and imposes strict requirements for processing the personal data of individuals within the EEA or in the context of our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some of the personal data we process in respect of clinical trial participants is special category or sensitive personal data under the EU GDPR, and subject to additional compliance obligations and to local law derogations. Since the beginning of 2021, after the end of the transition period following the withdrawal of the United Kingdom from the EU (</w:t>
      </w:r>
      <w:r>
        <w:rPr>
          <w:rFonts w:ascii="Times New Roman;serif" w:hAnsi="Times New Roman;serif"/>
          <w:b w:val="false"/>
          <w:i/>
          <w:color w:val="000000"/>
          <w:sz w:val="20"/>
        </w:rPr>
        <w:t>Brexit</w:t>
      </w:r>
      <w:r>
        <w:rPr>
          <w:rFonts w:ascii="Times New Roman;serif" w:hAnsi="Times New Roman;serif"/>
          <w:b w:val="false"/>
          <w:color w:val="000000"/>
          <w:sz w:val="20"/>
        </w:rPr>
        <w:t xml:space="preserve">), we may also be subject to the United Kingdom General Data Protection Regulation and Data Protection Act 2018 (collectively, the </w:t>
      </w:r>
      <w:r>
        <w:rPr>
          <w:rFonts w:ascii="Times New Roman;serif" w:hAnsi="Times New Roman;serif"/>
          <w:b w:val="false"/>
          <w:i/>
          <w:color w:val="000000"/>
          <w:sz w:val="20"/>
        </w:rPr>
        <w:t>UK GDPR</w:t>
      </w:r>
      <w:r>
        <w:rPr>
          <w:rFonts w:ascii="Times New Roman;serif" w:hAnsi="Times New Roman;serif"/>
          <w:b w:val="false"/>
          <w:color w:val="000000"/>
          <w:sz w:val="20"/>
        </w:rPr>
        <w:t>) which imposes separate but similar obligations to those under the EU GDPR and comparable penalties, including fines of up to £17.5 million or 4% of a noncompliant company’s global annual revenue for the preceding financial year, whichever is greater. The subsequent separation of the data protection regimes of these territories mean we are required to comply with separate data protection laws in the EU and United Kingdom, which may lead to additional compliance costs and could increase our overall risk.</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EU and UK GDPR (collectively, the</w:t>
      </w:r>
      <w:r>
        <w:rPr>
          <w:color w:val="000000"/>
        </w:rPr>
        <w:t xml:space="preserve"> </w:t>
      </w:r>
      <w:r>
        <w:rPr>
          <w:rFonts w:ascii="Times New Roman;serif" w:hAnsi="Times New Roman;serif"/>
          <w:b w:val="false"/>
          <w:i/>
          <w:color w:val="000000"/>
          <w:sz w:val="20"/>
        </w:rPr>
        <w:t>GDPR</w:t>
      </w:r>
      <w:r>
        <w:rPr>
          <w:rFonts w:ascii="Times New Roman;serif" w:hAnsi="Times New Roman;serif"/>
          <w:b w:val="false"/>
          <w:color w:val="000000"/>
          <w:sz w:val="20"/>
        </w:rPr>
        <w:t xml:space="preserve">), which deals with the processing of personal data and on the free movement of such data, imposes a broad range of strict requirements, including requirements relating to having lawful bases for processing personal data and transferring such information outside the EEA/UK, including to the U.S.,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assessments and record-keeping. In addition to fines, a breach of the GDPR may result in regulatory investigations, reputational damage, orders to cease/ change our data processing activities, enforcement notices, assessment notices (for a compulsory audit) and/or civil claims (including class actions).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GDPR imposes strict rules on the transfer of personal data out of the EEA/UK to countries not regarded by European Commission and the United Kingdom government as providing adequate protection, or the third countries, including the U.S. and the efficacy and longevity of current transfer mechanisms between the EEA and the U.S. remains uncertain. Case law from the Court of Justice of the European Union (</w:t>
      </w:r>
      <w:r>
        <w:rPr>
          <w:rFonts w:ascii="Times New Roman;serif" w:hAnsi="Times New Roman;serif"/>
          <w:b w:val="false"/>
          <w:i/>
          <w:color w:val="000000"/>
          <w:sz w:val="20"/>
        </w:rPr>
        <w:t>CJEU</w:t>
      </w:r>
      <w:r>
        <w:rPr>
          <w:rFonts w:ascii="Times New Roman;serif" w:hAnsi="Times New Roman;serif"/>
          <w:b w:val="false"/>
          <w:color w:val="000000"/>
          <w:sz w:val="20"/>
        </w:rPr>
        <w:t>)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October 7, 2022, President Biden signed an Executive Order on ‘Enhancing Safeguards for U.S. Intelligence Activities’ which introduced new redress mechanisms and binding safeguards to address the concerns raised by the CJEU in relation to data transfers from the EEA to the U.S. and which formed the basis of the new EU-US Data Privacy Framework (</w:t>
      </w:r>
      <w:r>
        <w:rPr>
          <w:rFonts w:ascii="Times New Roman;serif" w:hAnsi="Times New Roman;serif"/>
          <w:b w:val="false"/>
          <w:i/>
          <w:color w:val="000000"/>
          <w:sz w:val="20"/>
        </w:rPr>
        <w:t>DPF</w:t>
      </w:r>
      <w:r>
        <w:rPr>
          <w:rFonts w:ascii="Times New Roman;serif" w:hAnsi="Times New Roman;serif"/>
          <w:b w:val="false"/>
          <w:color w:val="000000"/>
          <w:sz w:val="20"/>
        </w:rPr>
        <w:t>), as released on December 13, 2022. The European Commission adopted its Adequacy Decision in relation to the DPF on July 10, 2023, rendering the DPF effective as a EU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On October 12, 2023, the UK Extension to the DPF came into effect (as approved by the UK Government), as a UK GDPR data transfer mechanism to U.S. entities self-certified under the UK Extension to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This may lead to additional compliance costs and could increase our overall risk.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Should we conduct future clinical trials in the U.K. or EU, we cannot assure you that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reputation and materially harm our business. As we continue to expand into other foreign countries and jurisdictions, we may be subject to additional laws and regulations that may affect how we conduct business.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Additional laws and regulations governing international operations could negatively impact or restrict our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expand our operations outside of the U.S., we must dedicate additional resources to comply with numerous laws and regulations in each jurisdiction in which we plan to operate. The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are subject to certain U.S. and foreign anti-corruption, anti-money laundering, export control, sanctions and other trade laws and regulations. We can face serious consequences for violations.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Risks Related to Our Intellectual Property Rights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If we are unable to adequately protect our proprietary technology or obtain and maintain issued patents that are sufficient to protect our product candidates, others could compete against us, which would have a material adverse impact on our business, results of operations, financial condition and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strive to protect and enhance the proprietary technologies that we believe are important to our business, including seeking patents intended to cover our product candidates, their compositions and formulations, their methods of use and methods of manufacturing, delivery devices and any other inventions we consider important to the development of our business. We also rely on trade secrets to protect aspects of our business that are not amenable to, or that we do not consider appropriate for, patent protection.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will depend significantly on our ability to obtain and maintain commercially meaningful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patents and patent applications related to product candidates fasedienol, itruvone, refisolone, PH15, and AV-101 and nasal spray delivery devices, and have licensed patents and patent applications related to certain stem cell technologies.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own and have licensed issued and patents and pending patent applications relating to our product candidates in the U.S. and selected countries in other markets, we cannot provide any assurances that our pending U.S. and corresponding foreign patent applications will mature into issued patents and, if they do, that any of our patents will include claims with a scope sufficient to protect our product candidates or otherwise provide any competitive advantage.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other parties may have developed technologies that may be related or competitive to our product candidates and may have filed or may file patent applications and may have been granted or may be granted patents that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 and may limit or eliminate our ability to commercialize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 to country.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obtain valid and enforceable patents depends, among other factors, on whether the differences between our technology and the prior art allow our inventions to be patentable over the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vary among the countries in which we pursue patents.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some patent-related uncertainty exists because of the challenge of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Another source of uncertainty pertains to patent properties that were in-licensed by us for which prior art submissions were under the control of the licensor. We rely on these licensors to satisfy the relevant disclosure obligations.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any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USPTO and various other foreign governmental patent agencies require compliance with a number of procedural, documentary, fee payment, and other provisions during the patent process. There are situations in which noncompliance can result in the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Even if patents are granted in the U.S. or other countries, third parties may challenge the validity, enforceability, or scope of such issued patents or any other issued patents we own or license, which may result in such patents being narrowed, invalidated, or held unenforceable.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U.S. and foreign patents and patent applications may be subject to various types of infringement and validity proceedings, including interference proceedings, ex parte reexamination, inter partes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a patent or rejection of a patent application or loss or reduction in the scope of one or more of the claims of the patent or patent in such a way that they no longer cover our product candidates or competitive products of third parties.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though an issued patent is presumed valid and enforceable, its issuance is not conclusive as to its validity or its enforceability, and the patent may not provide us with adequate proprietary protection or competitive advantages against competitors with similar products. Even if a patent is granted and is held to be valid and enforceable, competitors may be able to design around our patents, for example, by using pre-existing or newly developed technology or non-infringing formulations, devices, or methods of their use. Other parties may develop and obtain patent protection for more effective technologies, designs, or methods.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or one of our licensing partners initiated legal proceedings against a third party to enforce a patent covering one of our product candidates, the defendant could counterclaim that the patent covering our product candidate is invalid and/or unenforceable. In patent litigation in the U.S., defendant counterclaims alleging invalidity and/or unenforceability are commonplace. Grounds for a validity challenge include alleged failures to meet any of several statutory requirements, including lack of novelty, obviousness, and non-enablement. Grounds for unenforceability assertions include allegations that someone connected with the prosecution of the patent withheld relevant information from the USPTO or made a misleading statement during prosecution.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Third parties may also raise similar claims before administrative bodies in the U.S.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prevent the unauthorized disclosure or use of our technical knowledge or trade secrets by consultants, vendors, or former or current employees. The laws of some foreign countries do not protect our proprietary rights to the same extent as the laws of the U.S., and we may encounter significant problems in protecting our proprietary rights in these countries. Moreover, public policy, both within and outside the U.S., has become increasingly unfavorable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toward intellectual property rights. We cannot be certain that we will secure and maintain adequate patent protection for new products and technologies in the United States and other important markets. If these developments were to occur, they could have a material adverse effect on our sales.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by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we initiate, or in which we participate as a third party, and the damages or other remedies awarded if we prevail may not be commercially meaningful.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could be materially and adversely impacted. In addition, if a court found that valid, enforceable patents held by third parties covered our product candidates, our financial position and results of operations could also be materially and adversely impacted.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Overall, the degree of future protection for our proprietary rights is uncertain, and we cannot ensure that: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granted patents related to our product candidates or any pending patent applications, if granted and challenged by others, will include or maintain claims having a scope sufficient to protect these product candidates or any other products or product candidates against generic or other competition, particularly considering that any patent rights to these compounds per se have expired;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of our pending patent applications will issue as patents at all;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will be able to successfully commercialize our product candidates, if approved, before our relevant patents expire;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were the first to make the inventions covered by each of our patents and pending patent applications;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were the first to file patent applications for these inventions;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others will not develop similar or alternative technologies that do not infringe our patents;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others will not use pre-existing technology to effectively compete against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of our patents, if issued, will ultimately be found to be valid and enforceable, including on the basis of prior art relating to our patent applications and patents;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any of our U.S. patents, if issued, will be eligible for listing in the FDA’s “Approved Drug Products with Therapeutics Equivalents Evaluations” (commonly known as </w:t>
      </w:r>
      <w:r>
        <w:rPr>
          <w:rFonts w:ascii="Times New Roman;serif" w:hAnsi="Times New Roman;serif"/>
          <w:b w:val="false"/>
          <w:i/>
          <w:color w:val="000000"/>
          <w:sz w:val="20"/>
        </w:rPr>
        <w:t>the Orange Book</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patents that are listed in the Orange Book may be challenged by the Federal Trade Commission or other as being listed inappropriately and subsequently removed, thereby depriving the Company of significant patent enforcement protections;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patents currently held or issued to us in the future will provide a basis for an exclusive market for our commercially viable products, will provide us with any competitive advantages or will not be challenged by third parties;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will develop additional proprietary technologies or product candidates that are separately patentable; or</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commercial activities or products will not infringe the patents or proprietary rights of others.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may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independently developed by a person who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 and we may thereby lose intellectual property protection.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a failure to prevail in such proceedings could have a material adverse effect on the success of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cannot assure that our business, product candidates, and proprietary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inter partes reviews, or derivation proceedings before the U.S. or other jurisdictions.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biopharmaceutical industry is characterized by extensive litigation regarding patents and other intellectual property rights. Other parties may allege that our product candidates or the use of our technologies infringe their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devices,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types of proceedings can be expensive and time-consuming and many of our own or our licensors’ or collaborators’ adversaries in these proceedings may have the ability to dedicate substantially greater resources to prosecuting these kinds of legal actions than we or our licensors or collaborators can dedicate. Our defense of litigation or other proceedings may fail and, even if successful, may result in substantial costs and distract our management and other employees. We may not be able to prevent, alone or with our licensors, the misappropriation of our intellectual property rights, particularly in countries where the laws may not protect those rights as fully as in the U.S. or the European Union.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 unfavorable outcome in the foregoing kinds of proceedings could require us or our licensors or collaborators to cease using the related technology or developing or commercializing one or more of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Patent litigation and other types of intellectual property litigation can involve complex factual and legal questions, and litigation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are unable to obtain such a license, we may be forced to stop or delay developing, manufacturing, selling or otherwise commercializing one or more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Patent litigation and other types of intellectual property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intellectual property litigation or claims could force us to do one or more of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cease developing, selling or otherwise commercializing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pay substantial damages for past use of the asserted intellectual property;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obtain a license from the holder of the asserted intellectual property, which license may not be available on commercially reasonable terms, if at all;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 the case of trademark claims, redesign, or rename, some or all of our product candidates to avoid infringing the intellectual property rights of third parties, which may not be possible and, even if possible, could be costly and time-consuming.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of these risks coming to fruition could have a material adverse effect on our business, results of operations, financial condition and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be subject to claims challenging the inventorship or ownership of our patents and other intellectual property.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do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Filing, prosecuting, and defending patents on product candidates in all countries and jurisdictions throughout the world is prohibitively expensive, and our intellectual property rights in some countries outside the U.S. could be absent, unavailable or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or importing products made using our inventions in and into the U.S. or other jurisdictions. The statutory deadlines for pursuing patent protection in individual foreign jurisdictions are based on the priority filing date of each of our patent applications and the time periods allowed for filing related applications in a given country. Thus, for each of the patent families that we believe provide coverage for our lead product candidates or technologies, we must decide where and when to pursue protection outside the U.S.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In addition, we may not be able to obtain a trademark registration in the US or other countries that provides optimal brand name protection, and we may not be able to obtain the same trademark registration in the US and other countries. Even if we pursue and obtain issued patents in particular jurisdictions, our patent claims or other intellectual property rights may not be effective or sufficient to prevent third parties from so competing.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relevant foreign jurisdictions may be inadequate to obtain a significant commercial advantage from the intellectual property that we develop or license.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Some intellectual property that we have licensed may have been discovered through government-funded programs and thus may be subject to federal regulations such as “march-in” rights, certain reporting requirements, and a preference for U.S. industry. Compliance with such regulations may limit our exclusive rights, subject us to an expenditure of resources with respect to reporting requirements and limit our ability to contract with non-U.S. manufacturers.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Some of the intellectual property rights we have licensed or may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These U.S. government rights in certain inventions developed under a government-funded program include a non-exclusive, non-transferable, irrevocable worldwide license to use inventions for any governmental purpose.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Intellectual property generated under a government-funded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U.S.to the extent they are commercialized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not a current priority, in the event that we apply for additional U.S. government funding, and we discover compounds or drug candidates as a result of such funding, intellectual property rights to such discoveries may be subject to the applicable provisions of the Bayh-Dole Act.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do not obtain additional protection under the Hatch-Waxman Amendments and similar foreign legislation by extending the patent terms or obtaining regulatory and data exclusivity for our product candidates, our business may be materially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fasedienol, itruvone, or AV-101 is used in another drug company’s product candidate and that product candidate is the first to obtain FDA 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products.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recent U.S. Supreme Court rulings have narrowed the scope of patent protection available in certain circumstances and weakened the rights of patent owners in certain situations. The full impact of these decisions is not yet known. Recent court decisions and related USPTO examination guidelines must be considered, particularly as they relate to changes in what types of inventions are eligible for patent protection. Foreign patent and intellectual property laws are also evolving and are not predictable as to their impact on the Company and other biopharmaceutical companies.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be subject to damages resulting from claims that we or our employees have wrongfully used or disclosed alleged trade secrets of their former employers.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another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to defend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Numerous factors may limit any potential competitive advantage provided by our intellectual property rights.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others may be able to develop and/or practice technology that is similar to our technology or aspects of our technology but that is not covered by the claims of patents, should such patents issue from our patent applications;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might not have been the first to make the inventions covered by a pending patent application that we own;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might not have been the first to file patent applications covering an invention;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others may independently develop similar or alternative technologies without infringing our intellectual property rights;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pending patent applications that we own or license may not lead to issued patents;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patents, if issued, that we own or license may not provide us with any competitive advantages, or may be held invalid or unenforceable or be narrowed, as a result of legal challenges by our competitors;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third parties may compete with us in jurisdictions where we do not pursue and obtain patent protection;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not be able to obtain and/or maintain necessary or useful licenses on reasonable terms or at all;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patents of others may have an adverse effect on our business.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significantly harm our business and results of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Risks Related to our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fail to regain compliance with the continued listing requirements of the Nasdaq Capital Market, our common stock may be delisted and the price of our common stock and our ability to access the capital markets could be negatively impacted. Moreover, there can be no assurance that we will be able to regain compliance with such Nasdaq continued listing standards in the future.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On February 3, 2026, we were notified by the Nasdaq Stock Market, LLC (</w:t>
      </w:r>
      <w:r>
        <w:rPr>
          <w:rFonts w:ascii="Times New Roman;serif" w:hAnsi="Times New Roman;serif"/>
          <w:b w:val="false"/>
          <w:i/>
          <w:color w:val="000000"/>
          <w:sz w:val="20"/>
        </w:rPr>
        <w:t>Nasdaq</w:t>
      </w:r>
      <w:r>
        <w:rPr>
          <w:rFonts w:ascii="Times New Roman;serif" w:hAnsi="Times New Roman;serif"/>
          <w:b w:val="false"/>
          <w:color w:val="000000"/>
          <w:sz w:val="20"/>
        </w:rPr>
        <w:t>)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provides that we have 180 calendar days, or until August 3, 2026, to regain compliance with Nasdaq Listing Rule 5550(a)(2). To regain compliance, the bid price of our common stock must have a closing bid price of at least $1.00 per share for a minimum of 10 consecutive business days. An additional 180 days may be granted to regain compliance, so long as we meet the Nasdaq Capital Market continued listing requirements (except for the bid price requirement) and notify Nasdaq in writing of our intention to cure the deficiency during the second compliance period by implementing a reverse stock split, if necessary.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No assurance can be given that we will regain compliance with the Nasdaq continued listing standards. Failure to regain compliance with all Nasdaq continued listing standards could result in a delisting of our common stock, which could cause Nasdaq to delist our shares of common stock from trading on its exchange. If our shares of common stock were delisted from Nasdaq, we and our stockholders could face significant material adverse consequences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limited availability of market quotations for our securities;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reduced liquidity for our securities;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limited amount of news and analyst coverage;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decreased ability to issue additional securities or obtain additional financing in the future.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Market volatility may affect our stock price and the value of your investment.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market price for our common stock, similar to that of other biopharmaceutical companies, is likely to remain highly volatile. The market price of our common stock may fluctuate significantly for no apparent reason or in response to a number of factors, most of which we cannot control, including, among others: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volatility resulting from uncertainty and general economic conditions;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plans for, progress of or results from nonclinical and clinical development activities related to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failure of the FDA or other regulatory authority to review or approve our product candidates in a timely manner, or at all;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announcements of new products, technologies, commercial relationships, acquisitions or other events by us or our competitors;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success or failure of other neuroscience therapies in development by other companies;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regulatory or legal developments in the U.S. and other countries;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announcements regarding our intellectual property portfolio;</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failure of our product candidates, if approved, to achieve commercial success;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fluctuations in stock market prices and trading volumes of similar companies;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general market conditions and overall fluctuations in U.S. debt and equity markets;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variations in our quarterly operating results;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our financial guidance or securities analysts’ estimates of our financial performance;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accounting principles;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raise additional capital and the terms on which we can raise it;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sales or purchases of large blocks of our common stock, including sales or purchases by our executive officers, directors and significant stockholders;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establishment of short positions by holders or non-holders of our stock or warrants;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discussion of us or our stock price by the press and by anonymous or other online investor communities;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 risks and uncertainties described in these risk factors.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i/>
          <w:color w:val="000000"/>
          <w:sz w:val="20"/>
        </w:rPr>
        <w:t>There may be issuances of shares of preferred stock in the future</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Our Restated Articles of Incorporation, as amended (</w:t>
      </w:r>
      <w:r>
        <w:rPr>
          <w:rFonts w:ascii="Times New Roman;serif" w:hAnsi="Times New Roman;serif"/>
          <w:b w:val="false"/>
          <w:i/>
          <w:color w:val="000000"/>
          <w:sz w:val="20"/>
        </w:rPr>
        <w:t>the Articles</w:t>
      </w:r>
      <w:r>
        <w:rPr>
          <w:rFonts w:ascii="Times New Roman;serif" w:hAnsi="Times New Roman;serif"/>
          <w:b w:val="false"/>
          <w:color w:val="000000"/>
          <w:sz w:val="20"/>
        </w:rPr>
        <w:t>), permit us to issue up to 10.0 million shares of preferred stock. As a result, our Board could authorize the issuance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i/>
          <w:color w:val="000000"/>
          <w:sz w:val="20"/>
        </w:rPr>
        <w:t>We incur significant costs to ensure compliance with corporate governance, federal securities law and accounting requirements</w:t>
      </w:r>
      <w:r>
        <w:rPr>
          <w:rFonts w:ascii="Times New Roman;serif" w:hAnsi="Times New Roman;serif"/>
          <w:b/>
          <w:color w:val="000000"/>
          <w:sz w:val="20"/>
        </w:rPr>
        <w: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We are subject to the reporting requirements of the Exchange Act which requires that we file annual, quarterly and current reports with respect to our business and financial condition, and the rules and regulations implemented by the SEC, the Sarbanes-Oxley Act of 2002, as amended (the </w:t>
      </w:r>
      <w:r>
        <w:rPr>
          <w:rFonts w:ascii="Times New Roman;serif" w:hAnsi="Times New Roman;serif"/>
          <w:b w:val="false"/>
          <w:i/>
          <w:color w:val="000000"/>
          <w:sz w:val="20"/>
        </w:rPr>
        <w:t>Sarbanes-Oxley Act</w:t>
      </w:r>
      <w:r>
        <w:rPr>
          <w:rFonts w:ascii="Times New Roman;serif" w:hAnsi="Times New Roman;serif"/>
          <w:b w:val="false"/>
          <w:color w:val="000000"/>
          <w:sz w:val="20"/>
        </w:rPr>
        <w:t>),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amount of our future losses is uncertain and our quarterly and annual operating results may fluctuate significantly or fall below the expectations of investors or securities analysts, each of which may cause our stock price to fluctuate or decline.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in the future due to a variety of factors, many of which are outside of our control and may be difficult to predict, including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timing and success or failure of clinical trials for our product candidates or competing product candidates, or any other change in the competitive landscape of our industry,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successfully recruit, enroll and retain subjects who meet our eligibility criteria for participation in our clinical trials, and any delays caused by difficulties in such efforts;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obtain marketing approval for our product candidates and the timing and scope of any such approvals we may receive;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timing and cost of, and level of investment in, research and development and commercialization activities relating to our product candidates, which may change from time to time;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cost of manufacturing our product candidates, which may vary depending on the quantity of production and the terms of our agreements with contract manufacturers;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attract, hire and retain qualified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expenditures that we will or may incur to develop additional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level of demand for our product candidates should they receive approval, which may vary significantly;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changing and volatile U.S. and global economic and political environments, including the impact of inflation and rising interest rates, and domestic or international political instability;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future accounting pronouncements or changes in our accounting policies.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operating results or revenue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Because of potential volatility in our trading price and trading volume, we may incur significant costs from litigation, including class action securities litigation.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stock market in general, and Nasdaq and biotechnology and pharmaceutical companies in particular, have experienced extreme price and volume fluctuations that have often been unrelated or disproportionate to the operating performance of these companies. Historically, securities class action litigation has often been brought against companies following periods of volatility in the market price of a company’s securities. For example, purported stockholders of the Company have filed lawsuits in the United States District Court for the Northern District of California against the Company and certain of our executive officers, the members of our Board and certain other parties, claiming, under the U.S. federal securities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certain California civil statutes, among other things, allegedly false or misleading statements, and alleged omissions of material facts, related to our public disclosures. We believe all claims are without merit and intend to vigorously defend all claims. These types of litigation could result in substantial costs and a diversion of management’s attention and resources, which could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issuance of additional capital stock in connection with financings, acquisitions, investments, our stock incentive plans or otherwise may, and likely will significantly dilute all other stockholders.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 issue additional capital stock in the future that may, and likely will result in substantial dilution to all of our stockholders. We expect to grant equity awards to employees and directors under our stock incentive plans. We may also raise capital through equity financings in the future, as well as securities convertible into equity. As part of our business strategy, we may acquire or make investments in complementary companies, products, or technologies and issue equity and/or debt securities to pay for any such acquisition or investment. Any such issuances resulting in the issuance of additional equity securities will cause stockholders to experience significant dilution of their ownership interests and the per share value of our common stock to decline.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Because we have no current plans to pay cash dividends on our common stock, you may not receive any return on investment unless you sell your common stock for a price greater than that which you paid for 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have no current plans to pay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your sole source of gain for the foreseeable future.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Future offerings of debt or equity securities by us may adversely affect the market price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Issuing additional shares of our common stock or other equity securities or securities convertible into equity will dilute the economic and voting rights of our existing stockholders and may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Adverse market or macroeconomic conditions or market volatility resulting from global economic and political developments, including those affecting the financial services industry, could adversely affect our business operations and our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Adverse market or macroeconomic and political conditions or market volatility resulting from global economic developments, political activity and uncertainty, high inflation, rising interest rates or other factors, could materially and adversely affect our business operations.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These events could result in a variety of material and adverse impacts on our current and projected business operations and our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any deterioration in the macroeconomic economy or financial services industry could lead to losses or defaults by our partners, vendors or suppliers, which in turn, could have a material adverse effect on our current and/or projected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business operations and results of operations and financial condition. For example, a partner may fail to make payments when due, default under their agreements with us, become insolvent or declare bankruptcy, or a supplier may determine that it will no longer deal with us as a customer. In addition, a vendor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The bankruptcy or insolvency of any partner, vendor or supplier, or the failure of any partner to make payments when due, or any breach or default by a partner, vendor or supplier, or the loss of any significant supplier relationships, could cause us to suffer material losses and may have a material adverse impact on our business.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Changes in tax law could adversely affect our business and financial condition.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For example, on July 4, 2025, the United States enacted tax legislation commonly referred to as the One Big Beautiful Bill Act (</w:t>
      </w:r>
      <w:r>
        <w:rPr>
          <w:rFonts w:ascii="Times New Roman;serif" w:hAnsi="Times New Roman;serif"/>
          <w:b w:val="false"/>
          <w:i/>
          <w:color w:val="000000"/>
          <w:sz w:val="20"/>
        </w:rPr>
        <w:t>OBBB Act</w:t>
      </w:r>
      <w:r>
        <w:rPr>
          <w:rFonts w:ascii="Times New Roman;serif" w:hAnsi="Times New Roman;serif"/>
          <w:b w:val="false"/>
          <w:color w:val="000000"/>
          <w:sz w:val="20"/>
        </w:rPr>
        <w:t>). In accordance with U.S. GAAP, the Company will account for the tax effects of changes in tax law in the period of enactment which is the quarter ended September 30, 2025. The Company is currently in the process of analyzing the tax impacts of the OBBB Act, but we do not expect a material impact on our financial statements. We urge investors to consult with their legal and tax advisers regarding the implications of potential changes in tax laws on an investment in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ability to use our net operating losses and research and development tax credits to offset future taxable income may be subject to certain limitations.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As of March 31, 2025, we had U.S. federal net operating loss carryforwards totaling $229.2 million. Federal net operating loss carryforwards of approximately $82.1 million generated through our fiscal year ended March 31, 2018 will expire in our fiscal years ending March 31, 2025 through March 31, 2038. Federal net operating loss carryforwards of approximately $147.1 million generated in fiscal years ending after March 31, 2018 will carry forward indefinitely, but are subject to an 80% taxable income limitation. As of March 31, 2025, we had state net operating loss carryforwards totaling $66.6 million, which expire at various dates between 2029 and 2045. As of March 31, 2025, we also had U.S. federal and state research and development tax credit carryforwards of $7.6 million and $2.0 million, respectively. The federal tax credits will expire at various dates beginning with our fiscal year ending March 31, 2029, unless previously utilized. The state tax credits do not expire and will carry forward indefinitely until utilized. The net operating losses which are limited in life and tax credit carryforwards could expire unused and be unavailable to offset future income tax liabilities. In addition, in general, under Sections 382 and 383 of the Internal Revenue Code of 1986, as amended (the </w:t>
      </w:r>
      <w:r>
        <w:rPr>
          <w:rFonts w:ascii="Times New Roman;serif" w:hAnsi="Times New Roman;serif"/>
          <w:b w:val="false"/>
          <w:i/>
          <w:color w:val="000000"/>
          <w:sz w:val="20"/>
        </w:rPr>
        <w:t>Code</w:t>
      </w:r>
      <w:r>
        <w:rPr>
          <w:rFonts w:ascii="Times New Roman;serif" w:hAnsi="Times New Roman;serif"/>
          <w:b w:val="false"/>
          <w:color w:val="000000"/>
          <w:sz w:val="20"/>
        </w:rPr>
        <w:t>) a corporation that undergoes an “ownership change” is subject to limitations on its ability to utilize its pre-change net operating losses (</w:t>
      </w:r>
      <w:r>
        <w:rPr>
          <w:rFonts w:ascii="Times New Roman;serif" w:hAnsi="Times New Roman;serif"/>
          <w:b w:val="false"/>
          <w:i/>
          <w:color w:val="000000"/>
          <w:sz w:val="20"/>
        </w:rPr>
        <w:t>NOLs</w:t>
      </w:r>
      <w:r>
        <w:rPr>
          <w:rFonts w:ascii="Times New Roman;serif" w:hAnsi="Times New Roman;serif"/>
          <w:b w:val="false"/>
          <w:color w:val="000000"/>
          <w:sz w:val="20"/>
        </w:rPr>
        <w:t>) or tax credits or credits, to offset future taxable income or taxes. For these purposes, an ownership change generally occurs where the aggregate stock ownership of one or more stockholders or groups of stockholders who own at least 5% of a corporation’s stock increase their ownership by more than 50 percentage points over their lowest ownership percentage within a specified testing period. Our existing NOLs or credits may be subject to limitations arising from previous ownership changes, and if we undergo an ownership change in the future,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 If we determine that an ownership change has occurred and our ability to use our historical NOLs or credits is materially limited, it would harm our future operating results by effectively increasing our future tax obligations. Section 382 and 383 of the Code would apply to all net operating loss and tax credit carryforwards, whether the carryforward period is indefinite or not.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our ability to utilize our historical NOLs or credits is conditioned upon us attaining profitability and generating U.S. federal and state taxable income. We are a clinical-stage biopharmaceutical company with a limited operating history. We have incurred significant net losses since our inception and anticipate that we will continue to incur significant losses for the foreseeable future; and therefore, we do not know whether or when we will generate the U.S. federal or state taxable income necessary to utilize our historical NOLs or credits that may be subject to limitation by Sections 382 and 383 of the Code.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disclosure controls and procedures may not prevent or detect all errors or acts of fraud.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we conduct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we identify any future material weaknesses, the accuracy and timing of our financial reporting may be adversely affected, we may be unable to maintain compliance with securities law requirements regarding timely filing of periodic reports or applicable stock exchange listing requirements, investors may lose confidence in our financial reporting and our stock price may decline as a result. We also could become subject to investigations by Nasdaq, the SEC or other regulatory authorities.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Reports published by analysts, including projections in those reports that differ from our actual results, could adversely affect the price and trading volume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Independent securities research analysts may establish and publish their own periodic analysis of and projections relating to our operation and prospects. These analyses and projections may vary widely and may not accurately predict the results we actually achieve. Our share price may decline if our actual results do not match the analyses, opinions, and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price of our common stock may be volatile.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price of our common stock may fluctuate due to a variety of factors,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the industries in which we and our customers operate;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variations in our operating performance and the performance of our competitors in general;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actual or anticipated fluctuations in our quarterly or annual operating results;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publication of research reports by securities analysts about us, our competitors or our industry;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failure or the failure of our competitors to meet analysts’ projections or guidance that we or our competitors may give to the market;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additions and departures of key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volume of shares of our common stock available for public sale;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general economic and political conditions such as recessions, rising or unchanged interest rates, inflation, fuel prices, foreign currency fluctuations, international tariffs, boycotts, curtailment of trade and other business restrictions, social, political and economic risks, natural disasters and acts of war or terrorism, such as the conflicts involving Ukraine and Russia, or Israel and its surrounding regions.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These market and industry factors may materially reduce the market price of shares of our common stock regardless of our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308"/>
        <w:gridCol w:w="272"/>
        <w:gridCol w:w="273"/>
        <w:gridCol w:w="2984"/>
        <w:gridCol w:w="2984"/>
        <w:gridCol w:w="3009"/>
        <w:gridCol w:w="109"/>
        <w:gridCol w:w="109"/>
        <w:gridCol w:w="157"/>
      </w:tblGrid>
      <w:tr>
        <w:trPr/>
        <w:tc>
          <w:tcPr>
            <w:tcW w:w="3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897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
              <w:r>
                <w:rPr>
                  <w:rStyle w:val="InternetLink"/>
                  <w:rFonts w:ascii="Times New Roman;serif" w:hAnsi="Times New Roman;serif"/>
                  <w:b w:val="false"/>
                  <w:color w:val="0000FF"/>
                  <w:sz w:val="20"/>
                  <w:u w:val="single"/>
                </w:rPr>
                <w:t>10.1</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Indemnification Agreement by and between Vistagen Therapeutics, Inc. and Nick B. Tressler, dated December 1, 2025, incorporated by reference from Exhibit 10.1 to the Company's Current Report on Form 8-K filed on December 3,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51231xexx311.htm">
              <w:r>
                <w:rPr>
                  <w:rStyle w:val="InternetLink"/>
                  <w:rFonts w:ascii="Times New Roman;serif" w:hAnsi="Times New Roman;serif"/>
                  <w:b w:val="false"/>
                  <w:color w:val="0000EE"/>
                  <w:sz w:val="20"/>
                  <w:u w:val="single"/>
                </w:rPr>
                <w:t>31.1*</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 required by Rule 13a-14(a) under the Securities Exchange Act of 1934, as amended, as adopted pursuant to Section 302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51231xexx312.htm">
              <w:r>
                <w:rPr>
                  <w:rStyle w:val="InternetLink"/>
                  <w:rFonts w:ascii="Times New Roman;serif" w:hAnsi="Times New Roman;serif"/>
                  <w:b w:val="false"/>
                  <w:color w:val="0000EE"/>
                  <w:sz w:val="20"/>
                  <w:u w:val="single"/>
                </w:rPr>
                <w:t>31.2*</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 required by Rule 13a-14(a) under the Securities Exchange Act of 1934, as amended, as adopted pursuant to Section 302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51231xexx32.htm">
              <w:r>
                <w:rPr>
                  <w:rStyle w:val="InternetLink"/>
                  <w:rFonts w:ascii="Times New Roman;serif" w:hAnsi="Times New Roman;serif"/>
                  <w:b w:val="false"/>
                  <w:color w:val="0000EE"/>
                  <w:sz w:val="20"/>
                  <w:u w:val="single"/>
                </w:rPr>
                <w:t>32*</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and Financial Officers required by Rule 13a-14(b) and Section 1350 of Chapter 63 of Title 18 of the United States Code, as adopted pursuant to Section 906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 *</w:t>
            </w:r>
          </w:p>
        </w:tc>
        <w:tc>
          <w:tcPr>
            <w:tcW w:w="897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897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897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897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897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897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97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76" w:before="0" w:after="0"/>
        <w:jc w:val="left"/>
        <w:rPr/>
      </w:pPr>
      <w:hyperlink w:anchor="i3d120facb23e4b2fae4a71826cb4c8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4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059" w:type="dxa"/>
        <w:jc w:val="left"/>
        <w:tblInd w:w="0" w:type="dxa"/>
        <w:tblLayout w:type="fixed"/>
        <w:tblCellMar>
          <w:top w:w="28" w:type="dxa"/>
          <w:left w:w="28" w:type="dxa"/>
          <w:bottom w:w="28" w:type="dxa"/>
          <w:right w:w="28" w:type="dxa"/>
        </w:tblCellMar>
      </w:tblPr>
      <w:tblGrid>
        <w:gridCol w:w="792"/>
        <w:gridCol w:w="696"/>
        <w:gridCol w:w="702"/>
        <w:gridCol w:w="1131"/>
        <w:gridCol w:w="1131"/>
        <w:gridCol w:w="1607"/>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VISTAGEN THERAPEUTICS, INC.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Dated: February 12, 2026</w:t>
            </w:r>
          </w:p>
        </w:tc>
        <w:tc>
          <w:tcPr>
            <w:tcW w:w="38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Shawn K. Singh, JD</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Shawn K. Singh, JD</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President and Chief Executive Officer </w:t>
            </w:r>
          </w:p>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Nick B. Tressler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Nick B. Tressler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Shawn K. Singh,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Vistagen Therapeutics, Inc.;</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31" w:type="dxa"/>
        <w:jc w:val="left"/>
        <w:tblInd w:w="0" w:type="dxa"/>
        <w:tblLayout w:type="fixed"/>
        <w:tblCellMar>
          <w:top w:w="28" w:type="dxa"/>
          <w:left w:w="28" w:type="dxa"/>
          <w:bottom w:w="28" w:type="dxa"/>
          <w:right w:w="28" w:type="dxa"/>
        </w:tblCellMar>
      </w:tblPr>
      <w:tblGrid>
        <w:gridCol w:w="581"/>
        <w:gridCol w:w="510"/>
        <w:gridCol w:w="513"/>
        <w:gridCol w:w="784"/>
        <w:gridCol w:w="784"/>
        <w:gridCol w:w="787"/>
        <w:gridCol w:w="109"/>
        <w:gridCol w:w="109"/>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Shawn K. Singh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Shawn K. Singh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Nick B. Tressler, certify that: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Vistagen Therapeutics, Inc.;</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71" w:type="dxa"/>
        <w:jc w:val="left"/>
        <w:tblInd w:w="0" w:type="dxa"/>
        <w:tblLayout w:type="fixed"/>
        <w:tblCellMar>
          <w:top w:w="28" w:type="dxa"/>
          <w:left w:w="28" w:type="dxa"/>
          <w:bottom w:w="28" w:type="dxa"/>
          <w:right w:w="28" w:type="dxa"/>
        </w:tblCellMar>
      </w:tblPr>
      <w:tblGrid>
        <w:gridCol w:w="581"/>
        <w:gridCol w:w="510"/>
        <w:gridCol w:w="513"/>
        <w:gridCol w:w="764"/>
        <w:gridCol w:w="764"/>
        <w:gridCol w:w="767"/>
        <w:gridCol w:w="109"/>
        <w:gridCol w:w="109"/>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Nick B. Tressler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Nick B. Tressler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pPr>
      <w:r>
        <w:rPr>
          <w:rFonts w:ascii="Times New Roman;serif" w:hAnsi="Times New Roman;serif"/>
          <w:b w:val="false"/>
          <w:color w:val="000000"/>
          <w:sz w:val="20"/>
        </w:rPr>
        <w:t>In connection with the Quarterly Report on Form 10-Q of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for the quarter ended December 31, 2025, as filed with the Securities and Exchange Commission on the date hereof (the “</w:t>
      </w:r>
      <w:r>
        <w:rPr>
          <w:rFonts w:ascii="Times New Roman;serif" w:hAnsi="Times New Roman;serif"/>
          <w:b w:val="false"/>
          <w:i/>
          <w:color w:val="000000"/>
          <w:sz w:val="20"/>
        </w:rPr>
        <w:t>Report</w:t>
      </w:r>
      <w:r>
        <w:rPr>
          <w:color w:val="000000"/>
        </w:rPr>
        <w:t>”</w:t>
      </w:r>
      <w:r>
        <w:rPr>
          <w:rFonts w:ascii="Times New Roman;serif" w:hAnsi="Times New Roman;serif"/>
          <w:b w:val="false"/>
          <w:color w:val="000000"/>
          <w:sz w:val="20"/>
        </w:rPr>
        <w:t>), Shawn K. Singh, JD, the Company’s Principal Executive Officer, and Nick B. Tressler, the Company’s Principal Financial Officer, certifies, pursuant to 18 U.S.C. §1350, as adopted pursuant to §906 of the Sarbanes-Oxley Act of 2002, that to the best of their knowledge: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 of Section 13(a) or Section 15 (d)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p>
      <w:pPr>
        <w:pStyle w:val="TextBody"/>
        <w:bidi w:val="0"/>
        <w:spacing w:lineRule="auto" w:line="288" w:before="200" w:after="283"/>
        <w:jc w:val="left"/>
        <w:rPr/>
      </w:pPr>
      <w:r>
        <w:rPr>
          <w:rFonts w:ascii="Times New Roman;serif" w:hAnsi="Times New Roman;serif"/>
          <w:b w:val="false"/>
          <w:color w:val="000000"/>
          <w:sz w:val="20"/>
          <w:u w:val="single"/>
        </w:rPr>
        <w:t xml:space="preserve">/s/ </w:t>
      </w:r>
      <w:r>
        <w:rPr>
          <w:rFonts w:ascii="Times New Roman;serif" w:hAnsi="Times New Roman;serif"/>
          <w:b w:val="false"/>
          <w:i/>
          <w:color w:val="000000"/>
          <w:sz w:val="20"/>
          <w:u w:val="single"/>
        </w:rPr>
        <w:t>Shawn K. Singh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Shawn K. Singh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0"/>
          <w:u w:val="single"/>
        </w:rPr>
        <w:t xml:space="preserve">/s/ </w:t>
      </w:r>
      <w:r>
        <w:rPr>
          <w:rFonts w:ascii="Times New Roman;serif" w:hAnsi="Times New Roman;serif"/>
          <w:b w:val="false"/>
          <w:i/>
          <w:color w:val="000000"/>
          <w:sz w:val="20"/>
          <w:u w:val="single"/>
        </w:rPr>
        <w:t>Nick B. Tressler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Nick B. Tressler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1685/000162828025055083/vtgn8-k11282025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60797</Words>
  <Characters>346612</Characters>
  <CharactersWithSpaces>405726</CharactersWithSpaces>
  <Paragraphs>2365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