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4" w:lineRule="exact"/>
        <w:rPr>
          <w:sz w:val="24"/>
          <w:szCs w:val="24"/>
          <w:color w:val="auto"/>
        </w:rPr>
      </w:pPr>
    </w:p>
    <w:p>
      <w:pPr>
        <w:ind w:left="4240" w:right="3740" w:hanging="4232"/>
        <w:spacing w:after="0" w:line="502" w:lineRule="auto"/>
        <w:tabs>
          <w:tab w:leader="none" w:pos="12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March 31, 2018</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3" w:lineRule="exact"/>
        <w:rPr>
          <w:sz w:val="24"/>
          <w:szCs w:val="24"/>
          <w:color w:val="auto"/>
        </w:rPr>
      </w:pPr>
    </w:p>
    <w:p>
      <w:pPr>
        <w:ind w:left="4420" w:right="3520" w:hanging="4412"/>
        <w:spacing w:after="0" w:line="480" w:lineRule="auto"/>
        <w:tabs>
          <w:tab w:leader="none" w:pos="12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001-37761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916" w:right="239" w:bottom="0" w:gutter="0" w:footer="0" w:header="0"/>
        </w:sectPr>
      </w:pP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60"/>
          </w:cols>
          <w:pgMar w:left="240" w:top="916" w:right="239" w:bottom="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20" w:type="dxa"/>
            <w:vAlign w:val="bottom"/>
            <w:tcBorders>
              <w:bottom w:val="single" w:sz="8" w:color="auto"/>
            </w:tcBorders>
            <w:gridSpan w:val="2"/>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5"/>
              </w:rPr>
              <w:t>Title of each class</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492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7"/>
              </w:rPr>
              <w:t>The NASDAQ Capital Market</w:t>
            </w:r>
          </w:p>
        </w:tc>
      </w:tr>
      <w:tr>
        <w:trPr>
          <w:trHeight w:val="379"/>
        </w:trPr>
        <w:tc>
          <w:tcPr>
            <w:tcW w:w="3600" w:type="dxa"/>
            <w:vAlign w:val="bottom"/>
          </w:tcPr>
          <w:p>
            <w:pPr>
              <w:spacing w:after="0"/>
              <w:rPr>
                <w:sz w:val="24"/>
                <w:szCs w:val="24"/>
                <w:color w:val="auto"/>
              </w:rPr>
            </w:pPr>
          </w:p>
        </w:tc>
        <w:tc>
          <w:tcPr>
            <w:tcW w:w="47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5"/>
        </w:trPr>
        <w:tc>
          <w:tcPr>
            <w:tcW w:w="36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3"/>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52"/>
        </w:trPr>
        <w:tc>
          <w:tcPr>
            <w:tcW w:w="83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83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not required to file reports pursuant to Section 13 or 15(d) of the Act.  Yes</w:t>
            </w:r>
          </w:p>
        </w:tc>
        <w:tc>
          <w:tcPr>
            <w:tcW w:w="4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84"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207" w:lineRule="exact"/>
        <w:tabs>
          <w:tab w:leader="none" w:pos="32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84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1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44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8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1"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tabs>
          <w:tab w:leader="none" w:pos="7380" w:val="left"/>
          <w:tab w:leader="none" w:pos="81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of the registrant on September 30, 2017, the last business day of the registrant’s second fiscal quarter, was: $18,305,024.</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June 26, 2018, there were 23,037,615 shares of the registrant’s common stock, $0.001 par value per share, outstanding.</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420"/>
          </w:cols>
          <w:pgMar w:left="240" w:top="916" w:right="239" w:bottom="0" w:gutter="0" w:footer="0" w:header="0"/>
          <w:type w:val="continuous"/>
        </w:sectPr>
      </w:pPr>
    </w:p>
    <w:bookmarkStart w:id="1" w:name="page2"/>
    <w:bookmarkEnd w:id="1"/>
    <w:p>
      <w:pPr>
        <w:spacing w:after="0" w:line="275" w:lineRule="auto"/>
        <w:rPr>
          <w:sz w:val="20"/>
          <w:szCs w:val="20"/>
          <w:color w:val="auto"/>
        </w:rPr>
      </w:pPr>
      <w:r>
        <w:rPr>
          <w:rFonts w:ascii="Times New Roman" w:cs="Times New Roman" w:eastAsia="Times New Roman" w:hAnsi="Times New Roman"/>
          <w:sz w:val="18"/>
          <w:szCs w:val="18"/>
          <w:color w:val="auto"/>
        </w:rPr>
        <w:t>Items 10, 11, 12, 13 and 14 of Part III incorporate by reference certain information from VistaGen Therapeutics, Inc.’s definitive proxy statement, to be filed with the Securities and Exchange Commission on or before July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 w:name="page3"/>
    <w:bookmarkEnd w:id="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2"/>
              </w:rPr>
              <w:t>Item No.</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b w:val="1"/>
                <w:bCs w:val="1"/>
                <w:color w:val="0000EE"/>
                <w:w w:val="89"/>
              </w:rPr>
            </w:pPr>
            <w:hyperlink w:anchor="page5">
              <w:r>
                <w:rPr>
                  <w:rFonts w:ascii="Times New Roman" w:cs="Times New Roman" w:eastAsia="Times New Roman" w:hAnsi="Times New Roman"/>
                  <w:sz w:val="18"/>
                  <w:szCs w:val="18"/>
                  <w:b w:val="1"/>
                  <w:bCs w:val="1"/>
                  <w:color w:val="0000EE"/>
                  <w:w w:val="89"/>
                </w:rPr>
                <w:t>PART I</w:t>
              </w:r>
            </w:hyperlink>
          </w:p>
        </w:tc>
        <w:tc>
          <w:tcPr>
            <w:tcW w:w="940" w:type="dxa"/>
            <w:vAlign w:val="bottom"/>
            <w:tcBorders>
              <w:bottom w:val="single" w:sz="8" w:color="CCEEFF"/>
            </w:tcBorders>
            <w:gridSpan w:val="1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left="552"/>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9"/>
          </w:tcPr>
          <w:p>
            <w:pPr>
              <w:jc w:val="center"/>
              <w:ind w:left="1032"/>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240" w:type="dxa"/>
            <w:vAlign w:val="bottom"/>
            <w:gridSpan w:val="2"/>
          </w:tcPr>
          <w:p>
            <w:pPr>
              <w:jc w:val="center"/>
              <w:ind w:left="552"/>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gridSpan w:val="5"/>
            <w:shd w:val="clear" w:color="auto" w:fill="CCEEFF"/>
          </w:tcPr>
          <w:p>
            <w:pPr>
              <w:jc w:val="center"/>
              <w:spacing w:after="0" w:line="17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1A.</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Risk Factors</w:t>
              </w:r>
            </w:hyperlink>
          </w:p>
        </w:tc>
        <w:tc>
          <w:tcPr>
            <w:tcW w:w="7580" w:type="dxa"/>
            <w:vAlign w:val="bottom"/>
            <w:tcBorders>
              <w:bottom w:val="single" w:sz="8" w:color="CCEEFF"/>
            </w:tcBorders>
            <w:gridSpan w:val="17"/>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7"/>
          </w:tcPr>
          <w:p>
            <w:pPr>
              <w:jc w:val="center"/>
              <w:ind w:right="180"/>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1B.</w:t>
              </w:r>
            </w:hyperlink>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Unresolved Staff Comments</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8"/>
            <w:shd w:val="clear" w:color="auto" w:fill="CCEEFF"/>
          </w:tcPr>
          <w:p>
            <w:pPr>
              <w:spacing w:after="0"/>
              <w:rPr>
                <w:sz w:val="15"/>
                <w:szCs w:val="15"/>
                <w:color w:val="auto"/>
              </w:rPr>
            </w:pPr>
          </w:p>
        </w:tc>
        <w:tc>
          <w:tcPr>
            <w:tcW w:w="140" w:type="dxa"/>
            <w:vAlign w:val="bottom"/>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2.</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Properties</w:t>
              </w:r>
            </w:hyperlink>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8"/>
          </w:tcPr>
          <w:p>
            <w:pPr>
              <w:spacing w:after="0"/>
              <w:rPr>
                <w:sz w:val="15"/>
                <w:szCs w:val="15"/>
                <w:color w:val="auto"/>
              </w:rPr>
            </w:pPr>
          </w:p>
        </w:tc>
        <w:tc>
          <w:tcPr>
            <w:tcW w:w="140" w:type="dxa"/>
            <w:vAlign w:val="bottom"/>
          </w:tcPr>
          <w:p>
            <w:pPr>
              <w:jc w:val="cente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3.</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Legal Proceedings</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tcBorders>
              <w:bottom w:val="single" w:sz="8" w:color="CCEEFF"/>
            </w:tcBorders>
            <w:gridSpan w:val="8"/>
            <w:shd w:val="clear" w:color="auto" w:fill="CCEEFF"/>
          </w:tcPr>
          <w:p>
            <w:pPr>
              <w:spacing w:after="0"/>
              <w:rPr>
                <w:sz w:val="17"/>
                <w:szCs w:val="17"/>
                <w:color w:val="auto"/>
              </w:rPr>
            </w:pPr>
          </w:p>
        </w:tc>
        <w:tc>
          <w:tcPr>
            <w:tcW w:w="140" w:type="dxa"/>
            <w:vAlign w:val="bottom"/>
            <w:tcBorders>
              <w:bottom w:val="single" w:sz="8" w:color="0000EE"/>
            </w:tcBorders>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7"/>
              </w:rPr>
            </w:pPr>
            <w:hyperlink w:anchor="page51">
              <w:r>
                <w:rPr>
                  <w:rFonts w:ascii="Times New Roman" w:cs="Times New Roman" w:eastAsia="Times New Roman" w:hAnsi="Times New Roman"/>
                  <w:sz w:val="18"/>
                  <w:szCs w:val="18"/>
                  <w:color w:val="0000EE"/>
                  <w:w w:val="97"/>
                </w:rPr>
                <w:t>Mine Safety Disclosures</w:t>
              </w:r>
            </w:hyperlink>
          </w:p>
        </w:tc>
        <w:tc>
          <w:tcPr>
            <w:tcW w:w="6740" w:type="dxa"/>
            <w:vAlign w:val="bottom"/>
            <w:tcBorders>
              <w:bottom w:val="single" w:sz="8" w:color="CCEEFF"/>
            </w:tcBorders>
            <w:gridSpan w:val="13"/>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13"/>
          </w:tcPr>
          <w:p>
            <w:pPr>
              <w:spacing w:after="0" w:line="176" w:lineRule="exact"/>
              <w:rPr>
                <w:rFonts w:ascii="Times New Roman" w:cs="Times New Roman" w:eastAsia="Times New Roman" w:hAnsi="Times New Roman"/>
                <w:sz w:val="18"/>
                <w:szCs w:val="18"/>
                <w:b w:val="1"/>
                <w:bCs w:val="1"/>
                <w:color w:val="0000EE"/>
              </w:rPr>
            </w:pPr>
            <w:hyperlink w:anchor="page52">
              <w:r>
                <w:rPr>
                  <w:rFonts w:ascii="Times New Roman" w:cs="Times New Roman" w:eastAsia="Times New Roman" w:hAnsi="Times New Roman"/>
                  <w:sz w:val="18"/>
                  <w:szCs w:val="18"/>
                  <w:b w:val="1"/>
                  <w:bCs w:val="1"/>
                  <w:color w:val="0000EE"/>
                </w:rPr>
                <w:t>PART II</w:t>
              </w:r>
            </w:hyperlink>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8"/>
            <w:shd w:val="clear" w:color="auto" w:fill="CCEEFF"/>
          </w:tcPr>
          <w:p>
            <w:pPr>
              <w:spacing w:after="0"/>
              <w:rPr>
                <w:sz w:val="17"/>
                <w:szCs w:val="17"/>
                <w:color w:val="auto"/>
              </w:rPr>
            </w:pPr>
          </w:p>
        </w:tc>
        <w:tc>
          <w:tcPr>
            <w:tcW w:w="140" w:type="dxa"/>
            <w:vAlign w:val="bottom"/>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w:t>
              </w:r>
            </w:hyperlink>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Borders>
              <w:top w:val="single" w:sz="8" w:color="CCEEFF"/>
            </w:tcBorders>
            <w:gridSpan w:val="8"/>
          </w:tcPr>
          <w:p>
            <w:pPr>
              <w:spacing w:after="0"/>
              <w:rPr>
                <w:sz w:val="15"/>
                <w:szCs w:val="15"/>
                <w:color w:val="auto"/>
              </w:rPr>
            </w:pPr>
          </w:p>
        </w:tc>
        <w:tc>
          <w:tcPr>
            <w:tcW w:w="140" w:type="dxa"/>
            <w:vAlign w:val="bottom"/>
            <w:tcBorders>
              <w:top w:val="single" w:sz="8" w:color="0000EE"/>
            </w:tcBorders>
          </w:tcPr>
          <w:p>
            <w:pPr>
              <w:jc w:val="cente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6.</w:t>
              </w:r>
            </w:hyperlink>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19"/>
          </w:tcPr>
          <w:p>
            <w:pPr>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Selected Financial Data</w:t>
              </w:r>
            </w:hyperlink>
          </w:p>
        </w:tc>
        <w:tc>
          <w:tcPr>
            <w:tcW w:w="60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20" w:type="dxa"/>
            <w:vAlign w:val="bottom"/>
            <w:gridSpan w:val="8"/>
            <w:shd w:val="clear" w:color="auto" w:fill="CCEEFF"/>
          </w:tcPr>
          <w:p>
            <w:pPr>
              <w:spacing w:after="0"/>
              <w:rPr>
                <w:sz w:val="15"/>
                <w:szCs w:val="15"/>
                <w:color w:val="auto"/>
              </w:rPr>
            </w:pPr>
          </w:p>
        </w:tc>
        <w:tc>
          <w:tcPr>
            <w:tcW w:w="140" w:type="dxa"/>
            <w:vAlign w:val="bottom"/>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7.</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8"/>
          </w:tcPr>
          <w:p>
            <w:pPr>
              <w:jc w:val="center"/>
              <w:spacing w:after="0" w:line="17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7A.</w:t>
              </w:r>
            </w:hyperlink>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Quantitative and Qualitative Disclosures About Market Risk</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tcBorders>
              <w:bottom w:val="single" w:sz="8" w:color="CCEEFF"/>
            </w:tcBorders>
            <w:gridSpan w:val="8"/>
            <w:shd w:val="clear" w:color="auto" w:fill="CCEEFF"/>
          </w:tcPr>
          <w:p>
            <w:pPr>
              <w:spacing w:after="0"/>
              <w:rPr>
                <w:sz w:val="17"/>
                <w:szCs w:val="17"/>
                <w:color w:val="auto"/>
              </w:rPr>
            </w:pPr>
          </w:p>
        </w:tc>
        <w:tc>
          <w:tcPr>
            <w:tcW w:w="140" w:type="dxa"/>
            <w:vAlign w:val="bottom"/>
            <w:tcBorders>
              <w:bottom w:val="single" w:sz="8" w:color="0000EE"/>
            </w:tcBorders>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8.</w:t>
              </w:r>
            </w:hyperlink>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Financial Statements and Supplementary Data</w:t>
              </w:r>
            </w:hyperlink>
          </w:p>
        </w:tc>
        <w:tc>
          <w:tcPr>
            <w:tcW w:w="5220" w:type="dxa"/>
            <w:vAlign w:val="bottom"/>
            <w:tcBorders>
              <w:bottom w:val="single" w:sz="8" w:color="CCEEFF"/>
            </w:tcBorders>
            <w:gridSpan w:val="8"/>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9"/>
          </w:tcPr>
          <w:p>
            <w:pPr>
              <w:jc w:val="center"/>
              <w:ind w:left="1032"/>
              <w:spacing w:after="0" w:line="17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9.</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gridSpan w:val="5"/>
            <w:shd w:val="clear" w:color="auto" w:fill="CCEEFF"/>
          </w:tcPr>
          <w:p>
            <w:pPr>
              <w:jc w:val="center"/>
              <w:spacing w:after="0" w:line="176" w:lineRule="exact"/>
              <w:rPr>
                <w:rFonts w:ascii="Times New Roman" w:cs="Times New Roman" w:eastAsia="Times New Roman" w:hAnsi="Times New Roman"/>
                <w:sz w:val="18"/>
                <w:szCs w:val="18"/>
                <w:color w:val="0000EE"/>
                <w:w w:val="97"/>
              </w:rPr>
            </w:pPr>
            <w:hyperlink w:anchor="page102">
              <w:r>
                <w:rPr>
                  <w:rFonts w:ascii="Times New Roman" w:cs="Times New Roman" w:eastAsia="Times New Roman" w:hAnsi="Times New Roman"/>
                  <w:sz w:val="18"/>
                  <w:szCs w:val="18"/>
                  <w:color w:val="0000EE"/>
                  <w:w w:val="97"/>
                </w:rPr>
                <w:t>9A.</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7"/>
              </w:rPr>
            </w:pPr>
            <w:hyperlink w:anchor="page102">
              <w:r>
                <w:rPr>
                  <w:rFonts w:ascii="Times New Roman" w:cs="Times New Roman" w:eastAsia="Times New Roman" w:hAnsi="Times New Roman"/>
                  <w:sz w:val="18"/>
                  <w:szCs w:val="18"/>
                  <w:color w:val="0000EE"/>
                  <w:w w:val="97"/>
                </w:rPr>
                <w:t>Controls and Procedures</w:t>
              </w:r>
            </w:hyperlink>
          </w:p>
        </w:tc>
        <w:tc>
          <w:tcPr>
            <w:tcW w:w="6740" w:type="dxa"/>
            <w:vAlign w:val="bottom"/>
            <w:tcBorders>
              <w:bottom w:val="single" w:sz="8" w:color="CCEEFF"/>
            </w:tcBorders>
            <w:gridSpan w:val="13"/>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gridSpan w:val="7"/>
          </w:tcPr>
          <w:p>
            <w:pPr>
              <w:jc w:val="center"/>
              <w:ind w:right="180"/>
              <w:spacing w:after="0" w:line="17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9B.</w:t>
              </w:r>
            </w:hyperlink>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Other Information</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b w:val="1"/>
                <w:bCs w:val="1"/>
                <w:color w:val="0000EE"/>
                <w:w w:val="91"/>
              </w:rPr>
            </w:pPr>
            <w:hyperlink w:anchor="page103">
              <w:r>
                <w:rPr>
                  <w:rFonts w:ascii="Times New Roman" w:cs="Times New Roman" w:eastAsia="Times New Roman" w:hAnsi="Times New Roman"/>
                  <w:sz w:val="18"/>
                  <w:szCs w:val="18"/>
                  <w:b w:val="1"/>
                  <w:bCs w:val="1"/>
                  <w:color w:val="0000EE"/>
                  <w:w w:val="91"/>
                </w:rPr>
                <w:t>PART III</w:t>
              </w:r>
            </w:hyperlink>
          </w:p>
        </w:tc>
        <w:tc>
          <w:tcPr>
            <w:tcW w:w="800" w:type="dxa"/>
            <w:vAlign w:val="bottom"/>
            <w:tcBorders>
              <w:bottom w:val="single" w:sz="8" w:color="CCEEFF"/>
            </w:tcBorders>
            <w:gridSpan w:val="9"/>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11"/>
          </w:tcPr>
          <w:p>
            <w:pPr>
              <w:jc w:val="center"/>
              <w:ind w:left="972"/>
              <w:spacing w:after="0" w:line="176" w:lineRule="exact"/>
              <w:rPr>
                <w:rFonts w:ascii="Times New Roman" w:cs="Times New Roman" w:eastAsia="Times New Roman" w:hAnsi="Times New Roman"/>
                <w:sz w:val="18"/>
                <w:szCs w:val="18"/>
                <w:color w:val="0000EE"/>
                <w:w w:val="97"/>
              </w:rPr>
            </w:pPr>
            <w:hyperlink w:anchor="page103">
              <w:r>
                <w:rPr>
                  <w:rFonts w:ascii="Times New Roman" w:cs="Times New Roman" w:eastAsia="Times New Roman" w:hAnsi="Times New Roman"/>
                  <w:sz w:val="18"/>
                  <w:szCs w:val="18"/>
                  <w:color w:val="0000EE"/>
                  <w:w w:val="97"/>
                </w:rPr>
                <w:t>10.</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Directors, Executive Officers and Corporate Governance</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7"/>
            <w:shd w:val="clear" w:color="auto" w:fill="CCEEFF"/>
          </w:tcPr>
          <w:p>
            <w:pPr>
              <w:spacing w:after="0"/>
              <w:rPr>
                <w:sz w:val="15"/>
                <w:szCs w:val="15"/>
                <w:color w:val="auto"/>
              </w:rPr>
            </w:pPr>
          </w:p>
        </w:tc>
        <w:tc>
          <w:tcPr>
            <w:tcW w:w="22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w w:val="97"/>
              </w:rPr>
            </w:pPr>
            <w:hyperlink w:anchor="page103">
              <w:r>
                <w:rPr>
                  <w:rFonts w:ascii="Times New Roman" w:cs="Times New Roman" w:eastAsia="Times New Roman" w:hAnsi="Times New Roman"/>
                  <w:sz w:val="18"/>
                  <w:szCs w:val="18"/>
                  <w:color w:val="0000EE"/>
                  <w:w w:val="97"/>
                </w:rPr>
                <w:t>11.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Executive Compensation</w:t>
              </w:r>
            </w:hyperlink>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7"/>
          </w:tcPr>
          <w:p>
            <w:pPr>
              <w:spacing w:after="0"/>
              <w:rPr>
                <w:sz w:val="15"/>
                <w:szCs w:val="15"/>
                <w:color w:val="auto"/>
              </w:rPr>
            </w:pPr>
          </w:p>
        </w:tc>
        <w:tc>
          <w:tcPr>
            <w:tcW w:w="220" w:type="dxa"/>
            <w:vAlign w:val="bottom"/>
            <w:gridSpan w:val="3"/>
          </w:tcPr>
          <w:p>
            <w:pPr>
              <w:jc w:val="center"/>
              <w:spacing w:after="0" w:line="176" w:lineRule="exact"/>
              <w:rPr>
                <w:rFonts w:ascii="Times New Roman" w:cs="Times New Roman" w:eastAsia="Times New Roman" w:hAnsi="Times New Roman"/>
                <w:sz w:val="18"/>
                <w:szCs w:val="18"/>
                <w:color w:val="0000EE"/>
                <w:w w:val="97"/>
              </w:rPr>
            </w:pPr>
            <w:hyperlink w:anchor="page103">
              <w:r>
                <w:rPr>
                  <w:rFonts w:ascii="Times New Roman" w:cs="Times New Roman" w:eastAsia="Times New Roman" w:hAnsi="Times New Roman"/>
                  <w:sz w:val="18"/>
                  <w:szCs w:val="18"/>
                  <w:color w:val="0000EE"/>
                  <w:w w:val="97"/>
                </w:rPr>
                <w:t>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80" w:type="dxa"/>
            <w:vAlign w:val="bottom"/>
            <w:gridSpan w:val="20"/>
          </w:tcPr>
          <w:p>
            <w:pPr>
              <w:spacing w:after="0" w:line="17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40" w:type="dxa"/>
            <w:vAlign w:val="bottom"/>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7"/>
            <w:shd w:val="clear" w:color="auto" w:fill="CCEEFF"/>
          </w:tcPr>
          <w:p>
            <w:pPr>
              <w:spacing w:after="0"/>
              <w:rPr>
                <w:sz w:val="17"/>
                <w:szCs w:val="17"/>
                <w:color w:val="auto"/>
              </w:rPr>
            </w:pPr>
          </w:p>
        </w:tc>
        <w:tc>
          <w:tcPr>
            <w:tcW w:w="22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w w:val="97"/>
              </w:rPr>
            </w:pPr>
            <w:hyperlink w:anchor="page103">
              <w:r>
                <w:rPr>
                  <w:rFonts w:ascii="Times New Roman" w:cs="Times New Roman" w:eastAsia="Times New Roman" w:hAnsi="Times New Roman"/>
                  <w:sz w:val="18"/>
                  <w:szCs w:val="18"/>
                  <w:color w:val="0000EE"/>
                  <w:w w:val="97"/>
                </w:rPr>
                <w:t>13.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Certain Relationships and Related Transactions, and Director Independence</w:t>
              </w:r>
            </w:hyperlink>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CCEEFF"/>
            </w:tcBorders>
            <w:gridSpan w:val="7"/>
          </w:tcPr>
          <w:p>
            <w:pPr>
              <w:spacing w:after="0"/>
              <w:rPr>
                <w:sz w:val="15"/>
                <w:szCs w:val="15"/>
                <w:color w:val="auto"/>
              </w:rPr>
            </w:pPr>
          </w:p>
        </w:tc>
        <w:tc>
          <w:tcPr>
            <w:tcW w:w="220" w:type="dxa"/>
            <w:vAlign w:val="bottom"/>
            <w:tcBorders>
              <w:top w:val="single" w:sz="8" w:color="0000EE"/>
            </w:tcBorders>
            <w:gridSpan w:val="3"/>
          </w:tcPr>
          <w:p>
            <w:pPr>
              <w:jc w:val="center"/>
              <w:spacing w:after="0" w:line="176" w:lineRule="exact"/>
              <w:rPr>
                <w:rFonts w:ascii="Times New Roman" w:cs="Times New Roman" w:eastAsia="Times New Roman" w:hAnsi="Times New Roman"/>
                <w:sz w:val="18"/>
                <w:szCs w:val="18"/>
                <w:color w:val="0000EE"/>
                <w:w w:val="97"/>
              </w:rPr>
            </w:pPr>
            <w:hyperlink w:anchor="page103">
              <w:r>
                <w:rPr>
                  <w:rFonts w:ascii="Times New Roman" w:cs="Times New Roman" w:eastAsia="Times New Roman" w:hAnsi="Times New Roman"/>
                  <w:sz w:val="18"/>
                  <w:szCs w:val="18"/>
                  <w:color w:val="0000EE"/>
                  <w:w w:val="97"/>
                </w:rPr>
                <w:t>14.</w:t>
              </w:r>
            </w:hyperlink>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32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103">
              <w:r>
                <w:rPr>
                  <w:rFonts w:ascii="Times New Roman" w:cs="Times New Roman" w:eastAsia="Times New Roman" w:hAnsi="Times New Roman"/>
                  <w:sz w:val="18"/>
                  <w:szCs w:val="18"/>
                  <w:color w:val="0000EE"/>
                </w:rPr>
                <w:t>Principal Accounting Fees and Services</w:t>
              </w:r>
            </w:hyperlink>
          </w:p>
        </w:tc>
        <w:tc>
          <w:tcPr>
            <w:tcW w:w="3160" w:type="dxa"/>
            <w:vAlign w:val="bottom"/>
            <w:tcBorders>
              <w:top w:val="single" w:sz="8" w:color="CCEEFF"/>
            </w:tcBorders>
            <w:gridSpan w:val="5"/>
          </w:tcPr>
          <w:p>
            <w:pPr>
              <w:spacing w:after="0"/>
              <w:rPr>
                <w:sz w:val="15"/>
                <w:szCs w:val="15"/>
                <w:color w:val="auto"/>
              </w:rPr>
            </w:pPr>
          </w:p>
        </w:tc>
        <w:tc>
          <w:tcPr>
            <w:tcW w:w="1240" w:type="dxa"/>
            <w:vAlign w:val="bottom"/>
            <w:tcBorders>
              <w:top w:val="single" w:sz="8" w:color="CCEEFF"/>
            </w:tcBorders>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00" w:type="dxa"/>
            <w:vAlign w:val="bottom"/>
            <w:gridSpan w:val="13"/>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04">
              <w:r>
                <w:rPr>
                  <w:rFonts w:ascii="Times New Roman" w:cs="Times New Roman" w:eastAsia="Times New Roman" w:hAnsi="Times New Roman"/>
                  <w:sz w:val="18"/>
                  <w:szCs w:val="18"/>
                  <w:b w:val="1"/>
                  <w:bCs w:val="1"/>
                  <w:color w:val="0000EE"/>
                </w:rPr>
                <w:t>PART IV</w:t>
              </w:r>
            </w:hyperlink>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0000EE"/>
            </w:tcBorders>
            <w:gridSpan w:val="3"/>
          </w:tcPr>
          <w:p>
            <w:pPr>
              <w:spacing w:after="0"/>
              <w:rPr>
                <w:sz w:val="15"/>
                <w:szCs w:val="15"/>
                <w:color w:val="auto"/>
              </w:rPr>
            </w:pPr>
          </w:p>
        </w:tc>
        <w:tc>
          <w:tcPr>
            <w:tcW w:w="640" w:type="dxa"/>
            <w:vAlign w:val="bottom"/>
            <w:tcBorders>
              <w:top w:val="single" w:sz="8" w:color="CCEEFF"/>
            </w:tcBorders>
            <w:gridSpan w:val="8"/>
          </w:tcPr>
          <w:p>
            <w:pPr>
              <w:jc w:val="center"/>
              <w:ind w:left="292"/>
              <w:spacing w:after="0" w:line="176" w:lineRule="exact"/>
              <w:rPr>
                <w:rFonts w:ascii="Times New Roman" w:cs="Times New Roman" w:eastAsia="Times New Roman" w:hAnsi="Times New Roman"/>
                <w:sz w:val="18"/>
                <w:szCs w:val="18"/>
                <w:color w:val="0000EE"/>
                <w:w w:val="97"/>
              </w:rPr>
            </w:pPr>
            <w:hyperlink w:anchor="page104">
              <w:r>
                <w:rPr>
                  <w:rFonts w:ascii="Times New Roman" w:cs="Times New Roman" w:eastAsia="Times New Roman" w:hAnsi="Times New Roman"/>
                  <w:sz w:val="18"/>
                  <w:szCs w:val="18"/>
                  <w:color w:val="0000EE"/>
                  <w:w w:val="97"/>
                </w:rPr>
                <w:t>15.</w:t>
              </w:r>
            </w:hyperlink>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80" w:type="dxa"/>
            <w:vAlign w:val="bottom"/>
            <w:tcBorders>
              <w:top w:val="single" w:sz="8" w:color="CCEEFF"/>
            </w:tcBorders>
            <w:gridSpan w:val="20"/>
          </w:tcPr>
          <w:p>
            <w:pPr>
              <w:spacing w:after="0" w:line="17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Exhibits and Financial Statement Schedules</w:t>
              </w:r>
            </w:hyperlink>
          </w:p>
        </w:tc>
        <w:tc>
          <w:tcPr>
            <w:tcW w:w="1240" w:type="dxa"/>
            <w:vAlign w:val="bottom"/>
            <w:tcBorders>
              <w:top w:val="single" w:sz="8" w:color="CCEEFF"/>
            </w:tcBorders>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00" w:type="dxa"/>
            <w:vAlign w:val="bottom"/>
            <w:gridSpan w:val="13"/>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104">
              <w:r>
                <w:rPr>
                  <w:rFonts w:ascii="Times New Roman" w:cs="Times New Roman" w:eastAsia="Times New Roman" w:hAnsi="Times New Roman"/>
                  <w:sz w:val="18"/>
                  <w:szCs w:val="18"/>
                  <w:b w:val="1"/>
                  <w:bCs w:val="1"/>
                  <w:color w:val="0000EE"/>
                </w:rPr>
                <w:t>EXHIBIT INDEX</w:t>
              </w:r>
            </w:hyperlink>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1120" w:type="dxa"/>
            <w:vAlign w:val="bottom"/>
            <w:tcBorders>
              <w:top w:val="single" w:sz="8" w:color="0000EE"/>
              <w:bottom w:val="single" w:sz="8" w:color="0000EE"/>
            </w:tcBorders>
            <w:gridSpan w:val="8"/>
          </w:tcPr>
          <w:p>
            <w:pPr>
              <w:spacing w:after="0" w:line="176" w:lineRule="exact"/>
              <w:rPr>
                <w:rFonts w:ascii="Times New Roman" w:cs="Times New Roman" w:eastAsia="Times New Roman" w:hAnsi="Times New Roman"/>
                <w:sz w:val="18"/>
                <w:szCs w:val="18"/>
                <w:b w:val="1"/>
                <w:bCs w:val="1"/>
                <w:color w:val="0000EE"/>
                <w:w w:val="93"/>
              </w:rPr>
            </w:pPr>
            <w:hyperlink w:anchor="page107">
              <w:r>
                <w:rPr>
                  <w:rFonts w:ascii="Times New Roman" w:cs="Times New Roman" w:eastAsia="Times New Roman" w:hAnsi="Times New Roman"/>
                  <w:sz w:val="18"/>
                  <w:szCs w:val="18"/>
                  <w:b w:val="1"/>
                  <w:bCs w:val="1"/>
                  <w:color w:val="0000EE"/>
                  <w:w w:val="93"/>
                </w:rPr>
                <w:t>SIGNATURES</w:t>
              </w:r>
            </w:hyperlink>
          </w:p>
        </w:tc>
        <w:tc>
          <w:tcPr>
            <w:tcW w:w="220" w:type="dxa"/>
            <w:vAlign w:val="bottom"/>
            <w:tcBorders>
              <w:top w:val="single" w:sz="8" w:color="0000EE"/>
            </w:tcBorders>
            <w:gridSpan w:val="4"/>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gridSpan w:val="2"/>
          </w:tcPr>
          <w:p>
            <w:pPr>
              <w:jc w:val="center"/>
              <w:ind w:left="532"/>
              <w:spacing w:after="0" w:line="176" w:lineRule="exact"/>
              <w:rPr>
                <w:sz w:val="20"/>
                <w:szCs w:val="20"/>
                <w:color w:val="auto"/>
              </w:rPr>
            </w:pPr>
            <w:r>
              <w:rPr>
                <w:rFonts w:ascii="Times New Roman" w:cs="Times New Roman" w:eastAsia="Times New Roman" w:hAnsi="Times New Roman"/>
                <w:sz w:val="18"/>
                <w:szCs w:val="18"/>
                <w:color w:val="auto"/>
                <w:w w:val="96"/>
              </w:rPr>
              <w:t>105</w:t>
            </w: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Annual Report on Form 10-K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86" w:lineRule="exact"/>
        <w:rPr>
          <w:sz w:val="20"/>
          <w:szCs w:val="20"/>
          <w:color w:val="auto"/>
        </w:rPr>
      </w:pPr>
    </w:p>
    <w:p>
      <w:pPr>
        <w:ind w:left="660" w:hanging="328"/>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satisfy our working capital requirements, including our ELEVATE Study (defined below) and other clinical and non-clinical development objectives;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223" w:lineRule="exact"/>
        <w:rPr>
          <w:rFonts w:ascii="Times New Roman" w:cs="Times New Roman" w:eastAsia="Times New Roman" w:hAnsi="Times New Roman"/>
          <w:sz w:val="18"/>
          <w:szCs w:val="18"/>
          <w:color w:val="auto"/>
        </w:rPr>
      </w:pPr>
    </w:p>
    <w:p>
      <w:pPr>
        <w:ind w:left="660" w:hanging="328"/>
        <w:spacing w:after="0" w:line="27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lead product candidate, AV-101, initially as an adjunctive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subsequently as a treatment for additional diseases and disorders involving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our clinical trials, including our ELEVATE Study (defined below), and to advance AV-101 and/or other product candidates into additional clinical trials, including pivotal clinical trials, and successfully complete such clinical trials;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U.S. National Institutes of Health (</w:t>
      </w:r>
      <w:r>
        <w:rPr>
          <w:rFonts w:ascii="Times New Roman" w:cs="Times New Roman" w:eastAsia="Times New Roman" w:hAnsi="Times New Roman"/>
          <w:sz w:val="18"/>
          <w:szCs w:val="18"/>
          <w:i w:val="1"/>
          <w:iCs w:val="1"/>
          <w:color w:val="auto"/>
        </w:rPr>
        <w:t>NIH</w:t>
      </w:r>
      <w:r>
        <w:rPr>
          <w:rFonts w:ascii="Times New Roman" w:cs="Times New Roman" w:eastAsia="Times New Roman" w:hAnsi="Times New Roman"/>
          <w:sz w:val="18"/>
          <w:szCs w:val="18"/>
          <w:color w:val="auto"/>
        </w:rPr>
        <w:t>), U.S. National Institute of Mental Health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our third-party contract manufacturer(s)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and other third-party non-clinical and clinical drug development collaborators and regulatory service providers;</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protection for our core assets, including our product candidates;</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competing products and product candidates in development by others that are or become available for the indications that we are pursuing;</w:t>
      </w:r>
    </w:p>
    <w:p>
      <w:pPr>
        <w:spacing w:after="0" w:line="248" w:lineRule="exact"/>
        <w:rPr>
          <w:rFonts w:ascii="Times New Roman" w:cs="Times New Roman" w:eastAsia="Times New Roman" w:hAnsi="Times New Roman"/>
          <w:sz w:val="16"/>
          <w:szCs w:val="16"/>
          <w:color w:val="auto"/>
        </w:rPr>
      </w:pPr>
    </w:p>
    <w:p>
      <w:pPr>
        <w:ind w:left="660" w:hanging="328"/>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clinical or non-clinical development, regulatory, and/or management personnel, internally or from one or more of our third-party collaborators;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of this Annual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have filed as exhibits to the Annual Report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All brand names or trademarks appearing in this Annual Report are the property of their respective holders. Unless the context requires otherwise, references in this report to “VistaGen,” the “Company,” “we,” “us,” and “our” refer to VistaGen Therapeutics, Inc., a Nevada corporation. All references to future quarters and years in this Annual Report refer to calendar quarters and calendar years, unless reference is made otherwise.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new generation medicines for depression and other diseases and disorders of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with high unmet need.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CNS product candidate, AV-101, is an oral, non-opioid and non-sedating therapy that we believe offers the potential to be a new at-home treatment for multiple CNS indications with high unmet medical need. These indications include potential use as a new generation treatment alternative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as a non-addictive, non-sedating option for management of chronic neuropathic pain (</w:t>
      </w:r>
      <w:r>
        <w:rPr>
          <w:rFonts w:ascii="Times New Roman" w:cs="Times New Roman" w:eastAsia="Times New Roman" w:hAnsi="Times New Roman"/>
          <w:sz w:val="18"/>
          <w:szCs w:val="18"/>
          <w:i w:val="1"/>
          <w:iCs w:val="1"/>
          <w:color w:val="auto"/>
        </w:rPr>
        <w:t>CNP</w:t>
      </w:r>
      <w:r>
        <w:rPr>
          <w:rFonts w:ascii="Times New Roman" w:cs="Times New Roman" w:eastAsia="Times New Roman" w:hAnsi="Times New Roman"/>
          <w:sz w:val="18"/>
          <w:szCs w:val="18"/>
          <w:color w:val="auto"/>
        </w:rPr>
        <w:t>), to reduce dyskinesia induced by levodopa therapy for Parkinson’s disease (</w:t>
      </w:r>
      <w:r>
        <w:rPr>
          <w:rFonts w:ascii="Times New Roman" w:cs="Times New Roman" w:eastAsia="Times New Roman" w:hAnsi="Times New Roman"/>
          <w:sz w:val="18"/>
          <w:szCs w:val="18"/>
          <w:i w:val="1"/>
          <w:iCs w:val="1"/>
          <w:color w:val="auto"/>
        </w:rPr>
        <w:t>PD LID</w:t>
      </w:r>
      <w:r>
        <w:rPr>
          <w:rFonts w:ascii="Times New Roman" w:cs="Times New Roman" w:eastAsia="Times New Roman" w:hAnsi="Times New Roman"/>
          <w:sz w:val="18"/>
          <w:szCs w:val="18"/>
          <w:color w:val="auto"/>
        </w:rPr>
        <w:t>), and additional CNS indications where modulation of NMDA (N-methyl-D-aspartate) receptor and AMPA (alpha-amino-3-hydroxy-5-methyl-4-isoxazolepropionic acid) receptor pathways may achieve therapeutic benefit.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MDD, we believe AV-101 has potential as a first line oral monotherapy and as an adjunctive oral therapy. As an adjunctive therapy, we believe AV-101 has potential both to displace atypical antipsychotics such as aripiprazole in the current MDD drug treatment paradigm both for patients with an inadequate response to current antidepressants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to prevent relapse of MDD following successful treatment with the FDA-approved anesthetic, ketamine hydrochloride, an ion-channel blocking NDMA receptor antagonist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whether administered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injection or as an intranasal spray formulation. We believe AV-101 may have potential to deliver ketamine-like antidepressant effects on an at-home basis, without the requirement for inconvenient administration in a medical setting, and without causing psychological or other side effects and safety concerns associated with ketamine therapy.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AV-101 is in Phase 2 development in the United States. In the fourth quarter of 2017, we received authorization from the FDA to initiate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Times New Roman" w:cs="Times New Roman" w:eastAsia="Times New Roman" w:hAnsi="Times New Roman"/>
          <w:sz w:val="18"/>
          <w:szCs w:val="18"/>
          <w:i w:val="1"/>
          <w:iCs w:val="1"/>
          <w:color w:val="auto"/>
        </w:rPr>
        <w:t>ELEVATE Study</w:t>
      </w:r>
      <w:r>
        <w:rPr>
          <w:rFonts w:ascii="Times New Roman" w:cs="Times New Roman" w:eastAsia="Times New Roman" w:hAnsi="Times New Roman"/>
          <w:sz w:val="18"/>
          <w:szCs w:val="18"/>
          <w:color w:val="auto"/>
        </w:rPr>
        <w:t>). As planned, we initiated the ELEVATE Study in the first quarter of 2018. Dr. Maurizio Fava, Professor of Psychiatry at Harvard Medical School and Director, Division of Clinical Research,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We currently anticipate top line results from the ELEVATE Study in the first half of 2019.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AV-101 is also in the subject of a small Phase 2 clinical study being conducted and funded by the U.S. National Institute of Mental Health (the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NIMH (the </w:t>
      </w:r>
      <w:r>
        <w:rPr>
          <w:rFonts w:ascii="Times New Roman" w:cs="Times New Roman" w:eastAsia="Times New Roman" w:hAnsi="Times New Roman"/>
          <w:sz w:val="18"/>
          <w:szCs w:val="18"/>
          <w:i w:val="1"/>
          <w:iCs w:val="1"/>
          <w:color w:val="auto"/>
        </w:rPr>
        <w:t>NIMH Study</w:t>
      </w:r>
      <w:r>
        <w:rPr>
          <w:rFonts w:ascii="Times New Roman" w:cs="Times New Roman" w:eastAsia="Times New Roman" w:hAnsi="Times New Roman"/>
          <w:sz w:val="18"/>
          <w:szCs w:val="18"/>
          <w:color w:val="auto"/>
        </w:rPr>
        <w:t>). Dr. Carlos Zarate, Jr., Chief of the NIMH’s Experimental Therapeutics &amp; Pathophysiology Branch and its Section on Neurobiology and Treatment of Mood and Anxiety Disorders, is acting as the Principal Investigator for the NIMH Study, which is focused on AV-101 monotherapy for subjects with treatment-resistant MDD and certain biomarkers. Dr. Zarate and the NIMH were among the first in the U.S. to conduct clinical studies demonstrating the robust, fast-acting antidepressant effects of ketamine in MDD patients with inadequate responses to multiple current FDA-approved antidepressants.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CNS business, we have two additional programs through our wholly-owned subsidiary 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VistaStem is focused on applying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technology to rescue, develop and commercialize (i) 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CNS and other diseases and (ii)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xml:space="preserve">) involving hPSC-derived blood, cartilage, heart and liver cells. Our internal drug rescue programs are designed to utilize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our customized cardiac bioassay system, to develop small molecule NCEs for our pipeline or out-licensing. To advance potential RM applications of VistaStem’s cardiac stem cell technology, we have exclusively sublicensed to BlueRock Therapeutics LP, a next generation cell therapy and RM company established in 2016 with $225 million of committed capital from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8"/>
          <w:szCs w:val="18"/>
          <w:i w:val="1"/>
          <w:iCs w:val="1"/>
          <w:color w:val="auto"/>
        </w:rPr>
        <w:t>BlueRock Agreement</w:t>
      </w:r>
      <w:r>
        <w:rPr>
          <w:rFonts w:ascii="Times New Roman" w:cs="Times New Roman" w:eastAsia="Times New Roman" w:hAnsi="Times New Roman"/>
          <w:sz w:val="18"/>
          <w:szCs w:val="18"/>
          <w:color w:val="auto"/>
        </w:rPr>
        <w:t>). In a manner similar to the BlueRock Agreement, we may pursue additional VistaStem collaborations or licensing transactions involving blood, cartilage, and/or liver cells derived from hPSCs for cell-based therapy, cell repair therapy, RM and/or tissue engineering.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core strategy is to independently pursue development and commercialization of our product candidates that address high unmet medical needs of patients with CNS diseases and disorders. We have assembled a management team and a team of scientific, clinical, and regulatory advisors, including recognized experts in the fields of depression and other CNS diseases and disorders, with significant pharmaceutical industry and regulatory experience to lead and execute the development and commercialization of our CNS product candidate opportunities. As we continue to build and develop our product portfolio, we may opportunistically pursue strategic partnerships that maximize the value of our product candidate pipeline.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are to:</w:t>
      </w:r>
    </w:p>
    <w:p>
      <w:pPr>
        <w:spacing w:after="0" w:line="223" w:lineRule="exact"/>
        <w:rPr>
          <w:sz w:val="20"/>
          <w:szCs w:val="20"/>
          <w:color w:val="auto"/>
        </w:rPr>
      </w:pPr>
    </w:p>
    <w:p>
      <w:pPr>
        <w:jc w:val="both"/>
        <w:ind w:left="700" w:hanging="692"/>
        <w:spacing w:after="0" w:line="253"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and commercialize AV-101 for depression. </w:t>
      </w:r>
      <w:r>
        <w:rPr>
          <w:rFonts w:ascii="Times New Roman" w:cs="Times New Roman" w:eastAsia="Times New Roman" w:hAnsi="Times New Roman"/>
          <w:sz w:val="18"/>
          <w:szCs w:val="18"/>
          <w:color w:val="auto"/>
        </w:rPr>
        <w:t>The ELEVATE Study is our ongoing Phase 2 clinical development program for AV-101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our initial regulatory and commercial objective for AV-101: to displace atypical antipsychotics as the primary at-home adjunctive treatment of MDD in patients with an inadequate response to current antidepressants approved by the FDA for at-home use. Following the completion of the ELEVATE Study, we intend to develop AV-101 internally and independently, through our initial pivotal Phase 3 clinical program for AV-101 focused on adjunctive treatment of MDD to augment current FDA-approved antidepressants, accompanied by submission to the FDA of our initial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for AV-101. In addition to adjunctive treatment of MDD with current antidepressants approved by the FDA for at-home use, we believe AV-101 may have therapeutic potential as a stand-alone first-line oral therapy for depression and as an at-home oral adjunctive treatment following in-clinic intravenous or intranasal administration of ketamine, to prevent relapse of MDD following cessation of ketamine treatment. If our initial MDD-related NDA is approved by the FDA, we may pursue strategic partnerships to maximize the commercial potential of AV-101 for these additional MDD indications and multiple other CNS indications. We may also contract for and/or establish a specialty sales force focused primarily on clinical psychiatrists and long-term care physicians who prescribe standard antidepressants, atypical antipsychotics and ketamine for treatment of their MDD patients under the current and evolving MDD drug treatment paradigm.</w:t>
      </w:r>
    </w:p>
    <w:p>
      <w:pPr>
        <w:spacing w:after="0" w:line="190" w:lineRule="exact"/>
        <w:rPr>
          <w:rFonts w:ascii="Times New Roman" w:cs="Times New Roman" w:eastAsia="Times New Roman" w:hAnsi="Times New Roman"/>
          <w:sz w:val="18"/>
          <w:szCs w:val="18"/>
          <w:color w:val="auto"/>
        </w:rPr>
      </w:pPr>
    </w:p>
    <w:p>
      <w:pPr>
        <w:jc w:val="both"/>
        <w:ind w:left="700" w:hanging="692"/>
        <w:spacing w:after="0" w:line="293" w:lineRule="auto"/>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Develop and commercialize AV-101 for multiple additional CNS diseases and disorders. </w:t>
      </w:r>
      <w:r>
        <w:rPr>
          <w:rFonts w:ascii="Times New Roman" w:cs="Times New Roman" w:eastAsia="Times New Roman" w:hAnsi="Times New Roman"/>
          <w:sz w:val="16"/>
          <w:szCs w:val="16"/>
          <w:color w:val="auto"/>
        </w:rPr>
        <w:t>We intend to independently pursue clinical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and commercialization of AV-101 across multiple CNS-related indications beyond depression that we believe are underserved by currently available medicines and represent significant unmet medical needs. Based on AV-101 preclinical studies, our successful first-in-human NIH-funded AV-101 Phase 1 clinical safety studies, and regulatory submissions related to the ELEVATE Study, we believe AV-101 also has potential as a non-addictive, non-opioid, non-sedating treatment alternative for chronic neuropathic pain, as well as several additional CNS indications </w:t>
      </w:r>
      <w:r>
        <w:rPr>
          <w:rFonts w:ascii="Times New Roman" w:cs="Times New Roman" w:eastAsia="Times New Roman" w:hAnsi="Times New Roman"/>
          <w:sz w:val="16"/>
          <w:szCs w:val="16"/>
          <w:color w:val="333333"/>
        </w:rPr>
        <w:t>where modulation of NMDA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333333"/>
        </w:rPr>
        <w:t>receptors and activation of AMPA pathways may achieve therapeutic benefit</w:t>
      </w:r>
      <w:r>
        <w:rPr>
          <w:rFonts w:ascii="Times New Roman" w:cs="Times New Roman" w:eastAsia="Times New Roman" w:hAnsi="Times New Roman"/>
          <w:sz w:val="16"/>
          <w:szCs w:val="16"/>
          <w:color w:val="000000"/>
        </w:rPr>
        <w:t>, including PD LID, epilepsy and Huntington’s disease.</w:t>
      </w:r>
    </w:p>
    <w:p>
      <w:pPr>
        <w:spacing w:after="0" w:line="164" w:lineRule="exact"/>
        <w:rPr>
          <w:rFonts w:ascii="Times New Roman" w:cs="Times New Roman" w:eastAsia="Times New Roman" w:hAnsi="Times New Roman"/>
          <w:sz w:val="16"/>
          <w:szCs w:val="16"/>
          <w:color w:val="auto"/>
        </w:rPr>
      </w:pPr>
    </w:p>
    <w:p>
      <w:pPr>
        <w:jc w:val="both"/>
        <w:ind w:left="700" w:hanging="692"/>
        <w:spacing w:after="0" w:line="302" w:lineRule="auto"/>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License and/or acquire additional CNS product candidates. </w:t>
      </w:r>
      <w:r>
        <w:rPr>
          <w:rFonts w:ascii="Times New Roman" w:cs="Times New Roman" w:eastAsia="Times New Roman" w:hAnsi="Times New Roman"/>
          <w:sz w:val="16"/>
          <w:szCs w:val="16"/>
          <w:color w:val="auto"/>
        </w:rPr>
        <w:t>While our resources are currently focused on development of AV-101 for depression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additional CNS indications, we anticipate pursuing acquisition of additional CNS-related product candidates in the future, with an emphasis on opportunities related to neuropsychiatry. We believe that a diversified CNS product candidate portfolio, combined with our internal and collaborative network of CNS drug development expertise and ecosystem, will mitigate risks inherent in drug development and increase the likelihood of our success.</w:t>
      </w:r>
    </w:p>
    <w:p>
      <w:pPr>
        <w:spacing w:after="0" w:line="154" w:lineRule="exact"/>
        <w:rPr>
          <w:rFonts w:ascii="Times New Roman" w:cs="Times New Roman" w:eastAsia="Times New Roman" w:hAnsi="Times New Roman"/>
          <w:sz w:val="16"/>
          <w:szCs w:val="16"/>
          <w:color w:val="auto"/>
        </w:rPr>
      </w:pPr>
    </w:p>
    <w:p>
      <w:pPr>
        <w:jc w:val="both"/>
        <w:ind w:left="700" w:hanging="692"/>
        <w:spacing w:after="0" w:line="257"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VistaStem’s stem cell technology platform. </w:t>
      </w:r>
      <w:r>
        <w:rPr>
          <w:rFonts w:ascii="Times New Roman" w:cs="Times New Roman" w:eastAsia="Times New Roman" w:hAnsi="Times New Roman"/>
          <w:sz w:val="18"/>
          <w:szCs w:val="18"/>
          <w:color w:val="auto"/>
        </w:rPr>
        <w:t>We are applying VistaStem’s cardiac stem cell technology to screen and develop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NCEs for our internal CNS drug development pipeline through drug rescue, without incurring many of the substantial costs and risks typically inherent in new drug discovery and nonclinical drug development. To further capitalize on VistaStem’s stem cell technology platform while supporting its CNS pipeline-enabling drug rescue programs, we may seek additional cell therapy and regenerative medicine collaborations, similar to the BlueRock Agreement, involving our intellectual property relating to blood, cartilage and/or liver cells.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(L-4-cholorkyurenine or 4-Cl-KYN)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 xml:space="preserve">AV-101 is an oral prodrug candidate (4-Cl-KYN) in development for convenient at-home use to treat multiple CNS indications with high unmet medical need. After oral administration, AV-101 readily gains access to the CNS and is rapidly converted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into its active metabolite, 7-chlorokynurenic acid (</w:t>
      </w:r>
      <w:r>
        <w:rPr>
          <w:rFonts w:ascii="Times New Roman" w:cs="Times New Roman" w:eastAsia="Times New Roman" w:hAnsi="Times New Roman"/>
          <w:sz w:val="16"/>
          <w:szCs w:val="16"/>
          <w:i w:val="1"/>
          <w:iCs w:val="1"/>
          <w:color w:val="auto"/>
        </w:rPr>
        <w:t>7-Cl-KYNA</w:t>
      </w:r>
      <w:r>
        <w:rPr>
          <w:rFonts w:ascii="Times New Roman" w:cs="Times New Roman" w:eastAsia="Times New Roman" w:hAnsi="Times New Roman"/>
          <w:sz w:val="16"/>
          <w:szCs w:val="16"/>
          <w:color w:val="auto"/>
        </w:rPr>
        <w:t xml:space="preserve">), a well-characterized, potent and highly selective antagonist of the NMDA </w:t>
      </w:r>
      <w:r>
        <w:rPr>
          <w:rFonts w:ascii="Times New Roman" w:cs="Times New Roman" w:eastAsia="Times New Roman" w:hAnsi="Times New Roman"/>
          <w:sz w:val="16"/>
          <w:szCs w:val="16"/>
          <w:color w:val="333333"/>
        </w:rPr>
        <w:t>(N-methyl-D-aspartate)</w:t>
      </w:r>
      <w:r>
        <w:rPr>
          <w:rFonts w:ascii="Times New Roman" w:cs="Times New Roman" w:eastAsia="Times New Roman" w:hAnsi="Times New Roman"/>
          <w:sz w:val="16"/>
          <w:szCs w:val="16"/>
          <w:color w:val="auto"/>
        </w:rPr>
        <w:t xml:space="preserve"> receptor at its glycine (GlyB) co-agonist binding site.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AV-101’s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involves both NMDA and AMPA receptors in the brain responsible for fast excitatory synaptic activity throughout the CNS. AV-101’s MOA is fundamentally different from all FDA-approved antidepressants, as well as all FDA-approved atypical antipsychotics, drugs such as aripiprazole, that are often used adjunctively to augment standard antidepressants. For depression, we believe AV-101 has potential both as a stand-alone first-line oral monotherapy and as an adjunctive oral therapy for at-home use. As an adjunctive therapy, we believe AV-101 has potential for at-home use to both augment current antidepressants approved by the FA for at-home use and to prevent relapse of MDD following successful treatment with ketamine hydrochloride, an ion-channel blocking NDMA receptor antagonist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administered in a clinical setting either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injection or as an intranasal spray formulation.</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Current evidence suggests that AV-101’s modulation of NMDA receptor signaling may provide faster-acting antidepressant effects in the treatment of MDD than current FDA-approved antidepressants. In addition, as confirmed in our AV-101 Phase 1 clinical studies, targeting and </w:t>
      </w:r>
      <w:r>
        <w:rPr>
          <w:rFonts w:ascii="Times New Roman" w:cs="Times New Roman" w:eastAsia="Times New Roman" w:hAnsi="Times New Roman"/>
          <w:sz w:val="18"/>
          <w:szCs w:val="18"/>
          <w:i w:val="1"/>
          <w:iCs w:val="1"/>
          <w:color w:val="auto"/>
        </w:rPr>
        <w:t>modulating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inhibiting</w:t>
      </w:r>
      <w:r>
        <w:rPr>
          <w:rFonts w:ascii="Times New Roman" w:cs="Times New Roman" w:eastAsia="Times New Roman" w:hAnsi="Times New Roman"/>
          <w:sz w:val="18"/>
          <w:szCs w:val="18"/>
          <w:color w:val="auto"/>
        </w:rPr>
        <w:t xml:space="preserve"> activity of NMDA receptors at the specific GlyB site of the NMDA receptor, rather than </w:t>
      </w:r>
      <w:r>
        <w:rPr>
          <w:rFonts w:ascii="Times New Roman" w:cs="Times New Roman" w:eastAsia="Times New Roman" w:hAnsi="Times New Roman"/>
          <w:sz w:val="18"/>
          <w:szCs w:val="18"/>
          <w:i w:val="1"/>
          <w:iCs w:val="1"/>
          <w:color w:val="auto"/>
        </w:rPr>
        <w:t>blocking</w:t>
      </w:r>
      <w:r>
        <w:rPr>
          <w:rFonts w:ascii="Times New Roman" w:cs="Times New Roman" w:eastAsia="Times New Roman" w:hAnsi="Times New Roman"/>
          <w:sz w:val="18"/>
          <w:szCs w:val="18"/>
          <w:color w:val="auto"/>
        </w:rPr>
        <w:t xml:space="preserve"> NMDA receptor activity, does not have the negative side effects typically associated with standard antidepressants, atypical antipsychotics often used adjunctively in the current MDD drug treatment paradigm, or classic ion channel-blocking NMDA receptor antagonists, such as ketamine.</w:t>
      </w:r>
    </w:p>
    <w:p>
      <w:pPr>
        <w:sectPr>
          <w:pgSz w:w="11900" w:h="16838" w:orient="portrait"/>
          <w:cols w:equalWidth="0" w:num="1">
            <w:col w:w="11420"/>
          </w:cols>
          <w:pgMar w:left="240" w:top="126" w:right="239" w:bottom="1082"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082" w:gutter="0" w:footer="0" w:header="0"/>
          <w:type w:val="continuous"/>
        </w:sectPr>
      </w:pPr>
    </w:p>
    <w:bookmarkStart w:id="6" w:name="page7"/>
    <w:bookmarkEnd w:id="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believe AV-101 may have potential to deliver ketamine-like antidepressant effects, without the need for inconvenient administration in a medical setting, and without causing psychological or other negative side effects and safety concerns often associated with ketamine therapy. As published in the October 2015 issue of the peer-reviewed </w:t>
      </w:r>
      <w:r>
        <w:rPr>
          <w:rFonts w:ascii="Times New Roman" w:cs="Times New Roman" w:eastAsia="Times New Roman" w:hAnsi="Times New Roman"/>
          <w:sz w:val="18"/>
          <w:szCs w:val="18"/>
          <w:i w:val="1"/>
          <w:iCs w:val="1"/>
          <w:color w:val="auto"/>
        </w:rPr>
        <w:t>Journal of Pharmacology and Experimental Therapeutics,</w:t>
      </w:r>
      <w:r>
        <w:rPr>
          <w:rFonts w:ascii="Times New Roman" w:cs="Times New Roman" w:eastAsia="Times New Roman" w:hAnsi="Times New Roman"/>
          <w:sz w:val="18"/>
          <w:szCs w:val="18"/>
          <w:color w:val="auto"/>
        </w:rPr>
        <w:t xml:space="preserve"> in an article titled, </w:t>
      </w:r>
      <w:r>
        <w:rPr>
          <w:rFonts w:ascii="Times New Roman" w:cs="Times New Roman" w:eastAsia="Times New Roman" w:hAnsi="Times New Roman"/>
          <w:sz w:val="18"/>
          <w:szCs w:val="18"/>
          <w:i w:val="1"/>
          <w:iCs w:val="1"/>
          <w:color w:val="auto"/>
        </w:rPr>
        <w:t>The prodrug 4-chlorokynurenine causes ketamine-like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antidepressant effects, but not side effects, by NMDA/glycineB-site inhibition, </w:t>
      </w:r>
      <w:r>
        <w:rPr>
          <w:rFonts w:ascii="Times New Roman" w:cs="Times New Roman" w:eastAsia="Times New Roman" w:hAnsi="Times New Roman"/>
          <w:sz w:val="18"/>
          <w:szCs w:val="18"/>
          <w:color w:val="auto"/>
        </w:rPr>
        <w:t>using four well-established preclinical models of depression, AV-101 was shown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 ketamine-like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GlyB site inhibition of the NMDA receptor and activation of the AMPA receptor pathway in the brain.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Depressive Disorder</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Depression is a serious medical illness and a global public health concern. 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estimates that 300 million people worldwide are affected by depression. According to the NIMH, major depression is one of the most common mental disorders in the U.S. The NIMH reports that, in 2016, approximately 16 million adults in the U.S. had at least one major depressive episode in the past year. According to the U.S. Centers for Disease Control and Prevention (</w:t>
      </w:r>
      <w:r>
        <w:rPr>
          <w:rFonts w:ascii="Times New Roman" w:cs="Times New Roman" w:eastAsia="Times New Roman" w:hAnsi="Times New Roman"/>
          <w:sz w:val="18"/>
          <w:szCs w:val="18"/>
          <w:i w:val="1"/>
          <w:iCs w:val="1"/>
          <w:color w:val="auto"/>
        </w:rPr>
        <w:t>CDC</w:t>
      </w:r>
      <w:r>
        <w:rPr>
          <w:rFonts w:ascii="Times New Roman" w:cs="Times New Roman" w:eastAsia="Times New Roman" w:hAnsi="Times New Roman"/>
          <w:sz w:val="18"/>
          <w:szCs w:val="18"/>
          <w:color w:val="auto"/>
        </w:rPr>
        <w:t>) in an August 2017 report, one in eight Americans over the age of 12 reported taking a standard, FDA-approved antidepressant in the previous month.</w:t>
      </w:r>
    </w:p>
    <w:p>
      <w:pPr>
        <w:spacing w:after="0" w:line="1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 with the incidence of attempted suicide approximately 20 times higher in patients with MDD compared with the general population.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 Antidepressants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Standard depression medications available in the multi-billion-dollar global depression market, including commonly-prescribed SSRIs and SNRIs, have limited effectiveness, and, because of their mechanism of action, generally must be taken for at least four to six weeks before some patients may experience any notable therapeutic benefit. Approximately two out of every three depression sufferers, including over an estimated 6.0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adequately effective standard antidepressant. In addition, this trial and error process and the systemic effects of the various antidepressants involved may increase the risk of patient tolerability issues and serious side effects, including suicidal thoughts and behaviors in certain groups.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Ketamine and NIMH Clinical Studies in Major Depressive Disorder</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Ketamine hydrochloride (ketamine) belongs to a class of drugs that block NMDA receptors, which are neurochemical receptors in the brain found on nerve cells that respond to glutamate, which is a chemical messenger that helps form and maintain important connections between neurons. Ketamine is an FDA-approved, rapid-acting general anesthetic currently administered only by intravenous or intramuscular injection. The off-label use of ketamine to treat MDD in treatment-resistant patients has been studied in several clinical trials conducted by depression experts at Yale University and other academic institutions, as well as at the NIMH, including by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sub-anesthetic dose of ketamine (0.5 mg/kg over 40 minutes) produced robust and rapid (within twenty-four hours) antidepressant effects in MDD patients who had not responded to standard antidepressants. These results were in sharp contrast to the very slow onset of standard antidepressants (SSRIs and SNRIs) that usually require many weeks of chronic usage to achieve similar antidepressant effects. The potential for widespread therapeutic use of current FDA-approved ketamine, a U.S. Drug Enforcement Agency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Schedule III drug, for MDD is limited by its potential for abuse, dissociative and other psychological side effects and by the inconvenience and practical challenges associated with the necessity of administration in a medical setting. Notwithstanding these limitations, however, the discovery of ketamine’s fast-acting antidepressant effects revolutionized thinking about the current MDD drug treatment paradigm and catalyzed research and development of a new generation of antidepressant medications with a faster-acting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similar to ketamine’s and fundamentally differentiated from all current FDA-approved antidepressants. Our oral CNS drug candidate, AV-101 is among a new generation of antidepressants with potential to deliver faster-acting antidepressant effects than current antidepressants, without the side effects typically associated with current antidepressants, atypical antipsychotics and ketamine.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Mechanism of Action and Major Depressive Disorder</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described above, AV-101 (4-Cl-KYN) is an orally available prodrug candidate that produces, in the brain, 7-Cl-KYNA, one of the most potent and selective antagonists of the GlyB site of the NMDA receptor, resulting in the down-regulation of NMDA receptor signaling. Growing evidence suggests that glutamatergic activation involving AMPA receptors is central to the neurobiology and treatment of MDD and other mood disorders.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AV-101’s mechanism of action (</w:t>
      </w:r>
      <w:r>
        <w:rPr>
          <w:rFonts w:ascii="Times New Roman" w:cs="Times New Roman" w:eastAsia="Times New Roman" w:hAnsi="Times New Roman"/>
          <w:sz w:val="18"/>
          <w:szCs w:val="18"/>
          <w:i w:val="1"/>
          <w:iCs w:val="1"/>
          <w:color w:val="auto"/>
        </w:rPr>
        <w:t>MOA</w:t>
      </w:r>
      <w:r>
        <w:rPr>
          <w:rFonts w:ascii="Times New Roman" w:cs="Times New Roman" w:eastAsia="Times New Roman" w:hAnsi="Times New Roman"/>
          <w:sz w:val="18"/>
          <w:szCs w:val="18"/>
          <w:color w:val="auto"/>
        </w:rPr>
        <w:t>) is fundamentally different from the MOA of all standard, FDA-approved antidepressants and all atypical antipsychotics used adjunctively to augment inadequate response to standard antidepressants, placing AV-101 among a “new generation” of antidepressants with potential to treat millions of MDD sufferers worldwide who are poorly served by SSRIs, SNRIs and other current depression therapies. AV-101 is functionally similar to ketamine in that both are believed to induce final common pathway antidepressant activity via glutamatergic activation involving AMPA receptors. However, AV-101 inhibits NMDA receptor channel activity, whereas ketamine blocks the ion channel of the NMDA receptor. AV-101, as a prodrug, produces in the brain an antagonist that inhibits the NMDA receptor by selectively binding to its functionally required GlyB site. Experimental evidence confirms that inhibiting the NMDA receptor by targeting the GlyB site can produce potent antidepressive effects and bypass adverse effects that result when ketamine blocks the NMDA receptor ion channel. Experimental evidence also supports the conclusion that this NMDA receptor inhibition by AV-101 may result in a glutamatergic activation that depends on the AMPA receptor pathway, resulting in an increase in neuronal connections that has been associated with the faster-acting antidepressant effects that are similar to those seen with ketamine, rather than those achieved by standard antidepressants.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peer-reviewed published preclinical studies, AV-101 caused fast-acting, ketamine-like antidepressant effects, including rapid onset and long duration of effect following a single treatment, without causing negative side effects associated with ketamine. In two NIH-funded randomized, double blind, placebo-controlled Phase 1 safety studies, AV-101 was found to be safe, well-tolerated and not associated with any severe adverse events. There were no signs of sedation, hallucinations or any of the psychological side effects often associated with ketamine and other channel-blocking NMDA receptor antagonists.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Building on over $8.8 million of prior grant award funding from the NIH for preclinical and Phase 1 clinical development of AV-101, pursuant to our CRADA with the NIH, Dr. Carlos Zarate, Jr., as Principal Investigator, and his team at the NIMH are conducting, and the NIMH is funding, the NIMH Study. Among the objectives of the NIMH Study, the NIMH is evaluating the ability of AV-101 to improve overall depressive symptomatology in subjects with treatment-resistant MDD, specifically whether subjects with treatment-resistant MDD have a greater and more rapid decrease in depressive symptoms when treated with AV-101 monotherapy than with placebo, as well as assessment of multiple biomarkers.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conducting our ELEVATE Study to evaluate the safety and efficacy of AV-101 as an adjunctive treatment of MDD in adult patients with an inadequate response to standard, FDA-approved antidepressants. We currently anticipate that top line results of the ELEVATE Study will be available in the first half of 2019. The Principal Investigator of the ELEVATE Study is Dr. Maurizio Fava of Harvard Medical School. Dr. Fava was the co-Principal Investigator with Dr. A. John Rush of the largest clinical trial ever conducted in depression, STAR*D, whose findings were published in journals such the </w:t>
      </w:r>
      <w:r>
        <w:rPr>
          <w:rFonts w:ascii="Times New Roman" w:cs="Times New Roman" w:eastAsia="Times New Roman" w:hAnsi="Times New Roman"/>
          <w:sz w:val="18"/>
          <w:szCs w:val="18"/>
          <w:i w:val="1"/>
          <w:iCs w:val="1"/>
          <w:color w:val="auto"/>
        </w:rPr>
        <w:t>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Journal of the American Medical Association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as Adjunctive Treatment to Ketamine to Prevent Post-Ketamine MDD and/or Suicidal Ideation Relapse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ketamine to treat MDD has been studied in several clinical trials conducted by depression experts at numerous academic institutions and at the NIMH. In randomized, placebo-controlled, double blind clinical trials ketamine has produced robust and rapid (within twenty-four hours) antidepressant effects in MDD patients who had not responded to standard antidepressants. We believe the potential for widespread and long-term use of ketamine may be limited by its potential for abuse, dissociative and other psychological side effects and by the inconvenience and practical challenges associated with required administration in a clinical setting. In the event that ketamine’s side effects, safety concerns, required in-clinic administration or other factors limit the use of ketamine and result in relapse of MDD and/or suicidal ideation, we believe AV-101 has potential to prevent relapse of MDD and/or suicidal ideation without ketamine-like side effects and safety concerns, when administered orally, on an at-home basis, following cessation of ketamine therapy. We plan to leverage our ELEVATE Study IND to conduct an exploratory Phase 2 study to assess the efficacy and safety of AV-101 as an adjunctive treatment to ketamine to prevent MDD and/or suicidal ideation relapse post-ketamine therapy.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and Neuropathic Pain</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Neuropathic pain is a complex, chronic pain state that results from problems with signals from nerves. There are various causes of neuropathic pain, including tissue injury, nerve damage or disease, diabetes, infection, toxins, certain types of drugs, such as antivirals and chemotherapeutic agents, certain cancers, and even chronic alcohol intake. With neuropathic pain, damaged, dysfunctional or injured nerve fibers send incorrect signals to other pain centers and impact nerve function both at the site of injury and areas around the injury.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the WHO, about 116 million Americans were living with chronic pain in 2011.</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Many neuropathic pain treatments on the market today, including prescription opioids, antidepressants, and anticonvulsants such as gabapentin and pregabalin, have side effects including anxiety, depression, dizziness, cognitive impairment and/or sedation.</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effects of AV-101 were assessed in published peer-reviewed studies involving four well-established nonclinical models of pain, both hyperalgesia and allodynia, to examine its analgesic and behavioral profile. The publication, titled: “</w:t>
      </w:r>
      <w:r>
        <w:rPr>
          <w:rFonts w:ascii="Times New Roman" w:cs="Times New Roman" w:eastAsia="Times New Roman" w:hAnsi="Times New Roman"/>
          <w:sz w:val="18"/>
          <w:szCs w:val="18"/>
          <w:i w:val="1"/>
          <w:iCs w:val="1"/>
          <w:color w:val="auto"/>
        </w:rPr>
        <w:t>Characterization of the effects of L-4-chlorokynurenine on nociception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rodents</w:t>
      </w:r>
      <w:r>
        <w:rPr>
          <w:rFonts w:ascii="Times New Roman" w:cs="Times New Roman" w:eastAsia="Times New Roman" w:hAnsi="Times New Roman"/>
          <w:sz w:val="18"/>
          <w:szCs w:val="18"/>
          <w:color w:val="auto"/>
        </w:rPr>
        <w:t>,” by lead author, Tony L. Yaksh, Ph.D., Professor in Anesthesiology at the University of California, San Diego, was published in</w:t>
      </w:r>
      <w:r>
        <w:rPr>
          <w:rFonts w:ascii="Times New Roman" w:cs="Times New Roman" w:eastAsia="Times New Roman" w:hAnsi="Times New Roman"/>
          <w:sz w:val="18"/>
          <w:szCs w:val="18"/>
          <w:i w:val="1"/>
          <w:iCs w:val="1"/>
          <w:color w:val="auto"/>
        </w:rPr>
        <w:t xml:space="preserve"> The Journal of Pain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2017 (J Pain. 18:1184-1196, 2017)). In these studies, systemic delivery of AV-101 yielded high brain concentrations of AV-101's active metabolite, 7-Cl-KYNA that were calculated to exceed its IC50 at the NMDA receptor GlyB site and resulted in robust, dose-dependent anti-nociceptive effects, similar to gabapentin, but with no discernable negative side effects. Gabapentin, an anticonvulsant drug commonly used for neuropathic pain, causes sedation and mild cognitive impairment. Other commonly prescribed medications for neuropathic pain include drugs targeting opioid receptors in the brain. Unfortunately, misuse of such drugs can lead to a significantly increased risk of addiction, and, we believe, their therapeutic utility for neuropathic pain is unclear. Therefore, we believe AV-101, an oral drug candidate that does not target opioid receptors and is equally effective on pain, but is better tolerated than gabapentin, pregabalin or potentially addictive drugs targeting opioid receptors, could be an important treatment alternative for the millions of patients battling chronic neuropathic pain. Taken together with our successful AV-101 Phase 1a and 1b clinical safety studies, we believe the published results of these nonclinical studies support further clinical development of AV-101 in an exploratory Phase 2 clinical study to assess its potential as a non-opioid, non-addictive, non-sedating treatment to reduce debilitating neuropathic pain, especially diabetic neuropathic pain, effectively, without causing gabapentin- or pregabalin-like side effects or risk of addiction associated with pain medications targeting opioid receptors.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and Parkinson’s Disease Levodopa-Induced Dyskinesia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Parkinson's disease (</w:t>
      </w:r>
      <w:r>
        <w:rPr>
          <w:rFonts w:ascii="Times New Roman" w:cs="Times New Roman" w:eastAsia="Times New Roman" w:hAnsi="Times New Roman"/>
          <w:sz w:val="18"/>
          <w:szCs w:val="18"/>
          <w:i w:val="1"/>
          <w:iCs w:val="1"/>
          <w:color w:val="auto"/>
        </w:rPr>
        <w:t>PD</w:t>
      </w:r>
      <w:r>
        <w:rPr>
          <w:rFonts w:ascii="Times New Roman" w:cs="Times New Roman" w:eastAsia="Times New Roman" w:hAnsi="Times New Roman"/>
          <w:sz w:val="18"/>
          <w:szCs w:val="18"/>
          <w:color w:val="auto"/>
        </w:rPr>
        <w:t xml:space="preserve">) is a chronic, progressive motor disorder that causes tremors, rigidity, slowed movements and postural instability. The Parkinson’s Foundation estimates that PD affects about one million people in the United States and ten million worldwide. The main finding in brains of people with PD is loss of dopaminergic neurons in the area of the brain known as the </w:t>
      </w:r>
      <w:r>
        <w:rPr>
          <w:rFonts w:ascii="Times New Roman" w:cs="Times New Roman" w:eastAsia="Times New Roman" w:hAnsi="Times New Roman"/>
          <w:sz w:val="18"/>
          <w:szCs w:val="18"/>
          <w:i w:val="1"/>
          <w:iCs w:val="1"/>
          <w:color w:val="auto"/>
        </w:rPr>
        <w:t>substantia nigra</w:t>
      </w:r>
      <w:r>
        <w:rPr>
          <w:rFonts w:ascii="Times New Roman" w:cs="Times New Roman" w:eastAsia="Times New Roman" w:hAnsi="Times New Roman"/>
          <w:sz w:val="18"/>
          <w:szCs w:val="18"/>
          <w:color w:val="auto"/>
        </w:rPr>
        <w:t>. The most commonly-prescribed treatments for PD are levodopa-based therapies. In the brain, levodopa is converted to dopamine to replace the dopamine loss caused by PD. Unfortunately, abnormal involuntary movements, called dyskinesias, gradually emerge as a prominent side-effect in response to previously beneficial doses of levodopa. Parkinson’s disease levodopa-induced dyskinesia (</w:t>
      </w:r>
      <w:r>
        <w:rPr>
          <w:rFonts w:ascii="Times New Roman" w:cs="Times New Roman" w:eastAsia="Times New Roman" w:hAnsi="Times New Roman"/>
          <w:sz w:val="18"/>
          <w:szCs w:val="18"/>
          <w:i w:val="1"/>
          <w:iCs w:val="1"/>
          <w:color w:val="auto"/>
        </w:rPr>
        <w:t>PD LID</w:t>
      </w:r>
      <w:r>
        <w:rPr>
          <w:rFonts w:ascii="Times New Roman" w:cs="Times New Roman" w:eastAsia="Times New Roman" w:hAnsi="Times New Roman"/>
          <w:sz w:val="18"/>
          <w:szCs w:val="18"/>
          <w:color w:val="auto"/>
        </w:rPr>
        <w:t xml:space="preserve">) can be severely disabling, rendering patients unable to perform routine daily tasks. It may be necessary to reduce the dose of levodopa to avoid dyskinesias, which may in turn exacerbate the core PD motor disorder. Studies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Movement Disorders</w:t>
      </w:r>
      <w:r>
        <w:rPr>
          <w:rFonts w:ascii="Times New Roman" w:cs="Times New Roman" w:eastAsia="Times New Roman" w:hAnsi="Times New Roman"/>
          <w:sz w:val="18"/>
          <w:szCs w:val="18"/>
          <w:color w:val="auto"/>
        </w:rPr>
        <w:t xml:space="preserve"> have shown PD LID develops in approximately 45% of levodopa-treated Parkinson’s disease patients after five years and 80% after 10 years of levodopa treatment. In the U.S., there are an estimated 150,000 to 200,000 people with PD who are impacted by PD LID.</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AV-101 is not a dopamine-based drug candidate. Rather, it is believed to work through a different receptor in the brain that is equally important in PD, known as glutamate. We believe AV-101 has potential to reduce troublesome dyskinesia experienced by many patients with Parkinson’s disease as a result of their levodopa therapy, but without interfering with levodopa or causing side effects resulting from certain current PD LID treatments, including hallucinations, dizziness, dry mouth, swelling of legs and feet, constipation and falls.</w:t>
      </w:r>
    </w:p>
    <w:p>
      <w:pPr>
        <w:spacing w:after="0" w:line="19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In a monkey model of Parkinson’s disease, AV-101 (250 mg/kg and 450 mg/kg) resulted in a 30% reduction of the mean dyskinesia score associated with PD LID. Maximum dyskinesia scores were also reduced by 17%. Importantly, AV-101 did not reduce the anti-parkinsonian therapeutic benefit of levodopa. Moreover, the duration of levodopa response and delay to levodopa effect were not affected by treatment with AV-101. We believe these preclinical data warrant clinical development of AV-101 in an exploratory Phase 2 clinical study to assess its potential in Parkinson’s disease patients diagnosed with PD LID.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and Epilepsy</w:t>
      </w:r>
    </w:p>
    <w:p>
      <w:pPr>
        <w:spacing w:after="0" w:line="22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AV-101 has been shown to protect against seizures and neuronal damage in animal models of epilepsy, providing preclinical support for its potential as a novel treatment alternative for epilepsy. 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5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Glutamate is a neurotransmitter that is critically involved in the pathophysiology of epilepsy. Through its stimulation of the NMDA receptor subtype, glutamate has been implicated in the neuropathology and clinical symptoms of the disease. In support of this, NMDA receptor antagonists are potent anticonvulsants. However, classic NMDA receptor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 receptor function and are therefore anticonvulsant and neuroprotective. Importantly, GlyB site antagonists have fewer and less severe side effects than classic channel-blocking NMDA receptor antagonists and other antiepileptic agents, making them a safer potential alternative to, and one expected to be associated with greater patient compliance than, available anticonvulsant medications.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AV-101 has two additional therapeutically important properties as a drug candidate for treatment of epilepsy:</w:t>
      </w:r>
    </w:p>
    <w:p>
      <w:pPr>
        <w:spacing w:after="0" w:line="225" w:lineRule="exact"/>
        <w:rPr>
          <w:sz w:val="20"/>
          <w:szCs w:val="20"/>
          <w:color w:val="auto"/>
        </w:rPr>
      </w:pPr>
    </w:p>
    <w:p>
      <w:pPr>
        <w:jc w:val="both"/>
        <w:ind w:left="460" w:hanging="310"/>
        <w:spacing w:after="0" w:line="258"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AV-101 is preferentially converted to 7-Cl-KYNA in brain areas related to neuronal injury as a result of astrocytes, which are responsible for the enzymatic transamination of 4-Cl-KYN prodrug to active 7-Cl-KYNA, becoming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90" w:lineRule="exact"/>
        <w:rPr>
          <w:rFonts w:ascii="Times New Roman" w:cs="Times New Roman" w:eastAsia="Times New Roman" w:hAnsi="Times New Roman"/>
          <w:sz w:val="18"/>
          <w:szCs w:val="18"/>
          <w:color w:val="auto"/>
        </w:rPr>
      </w:pPr>
    </w:p>
    <w:p>
      <w:pPr>
        <w:ind w:left="460" w:right="20" w:hanging="310"/>
        <w:spacing w:after="0" w:line="27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metabolite of AV-101, 4-Cl-3-hydroxyanthranilic acid, inhibits the synthesis of quinolinic acid, an endogenous NMDA receptor agonist that causes convulsions and excitotoxic neuronal damage.</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and Huntington’s Disease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Working together with metabotropic glutamate receptors, the NMDA receptor ensures the establishment of long-term potentiation (</w:t>
      </w:r>
      <w:r>
        <w:rPr>
          <w:rFonts w:ascii="Times New Roman" w:cs="Times New Roman" w:eastAsia="Times New Roman" w:hAnsi="Times New Roman"/>
          <w:sz w:val="18"/>
          <w:szCs w:val="18"/>
          <w:i w:val="1"/>
          <w:iCs w:val="1"/>
          <w:color w:val="auto"/>
        </w:rPr>
        <w:t>LTP</w:t>
      </w:r>
      <w:r>
        <w:rPr>
          <w:rFonts w:ascii="Times New Roman" w:cs="Times New Roman" w:eastAsia="Times New Roman" w:hAnsi="Times New Roman"/>
          <w:sz w:val="18"/>
          <w:szCs w:val="18"/>
          <w:color w:val="auto"/>
        </w:rPr>
        <w:t>), a process believed to be responsible for the acquisition of information. These functions are mediated by calcium entry through the NMDA receptor-associated channel, which in turn influences a wide variety of cellular components, like cytoskeletal proteins or second-messenger synthases. However, over activation at the NMDA receptor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Huntington's disease (</w:t>
      </w:r>
      <w:r>
        <w:rPr>
          <w:rFonts w:ascii="Times New Roman" w:cs="Times New Roman" w:eastAsia="Times New Roman" w:hAnsi="Times New Roman"/>
          <w:sz w:val="16"/>
          <w:szCs w:val="16"/>
          <w:i w:val="1"/>
          <w:iCs w:val="1"/>
          <w:color w:val="auto"/>
        </w:rPr>
        <w:t>HD</w:t>
      </w:r>
      <w:r>
        <w:rPr>
          <w:rFonts w:ascii="Times New Roman" w:cs="Times New Roman" w:eastAsia="Times New Roman" w:hAnsi="Times New Roman"/>
          <w:sz w:val="16"/>
          <w:szCs w:val="16"/>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tissue levels of two neurotoxic metabolites of the kynurenine pathway of tryptophan degradation, quinolinic acid (</w:t>
      </w:r>
      <w:r>
        <w:rPr>
          <w:rFonts w:ascii="Times New Roman" w:cs="Times New Roman" w:eastAsia="Times New Roman" w:hAnsi="Times New Roman"/>
          <w:sz w:val="18"/>
          <w:szCs w:val="18"/>
          <w:i w:val="1"/>
          <w:iCs w:val="1"/>
          <w:color w:val="auto"/>
        </w:rPr>
        <w:t>QUIN</w:t>
      </w:r>
      <w:r>
        <w:rPr>
          <w:rFonts w:ascii="Times New Roman" w:cs="Times New Roman" w:eastAsia="Times New Roman" w:hAnsi="Times New Roman"/>
          <w:sz w:val="18"/>
          <w:szCs w:val="18"/>
          <w:color w:val="auto"/>
        </w:rPr>
        <w:t>) and 3-hydroxykynurenine (</w:t>
      </w:r>
      <w:r>
        <w:rPr>
          <w:rFonts w:ascii="Times New Roman" w:cs="Times New Roman" w:eastAsia="Times New Roman" w:hAnsi="Times New Roman"/>
          <w:sz w:val="18"/>
          <w:szCs w:val="18"/>
          <w:i w:val="1"/>
          <w:iCs w:val="1"/>
          <w:color w:val="auto"/>
        </w:rPr>
        <w:t>3-HK</w:t>
      </w:r>
      <w:r>
        <w:rPr>
          <w:rFonts w:ascii="Times New Roman" w:cs="Times New Roman" w:eastAsia="Times New Roman" w:hAnsi="Times New Roman"/>
          <w:sz w:val="18"/>
          <w:szCs w:val="18"/>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QUIN and to potentially produce significant local concentrations of 7-Cl-KYNA on chronic administration, may present an exciting opportunity for exploratory Phase 2 clinical investigation of AV-101 as a potential chronic treatment alternative for certain symptoms of HD.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Phase 1 Clinical Safety Studies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safety data from two NIH-funded AV-101 Phase 1 clinical safety studies indicate that AV-101 was safe and well tolerated in healthy subjects at all doses tested, in both single-ascending and multiple-ascending dose studies. There were no adverse effects (</w:t>
      </w:r>
      <w:r>
        <w:rPr>
          <w:rFonts w:ascii="Times New Roman" w:cs="Times New Roman" w:eastAsia="Times New Roman" w:hAnsi="Times New Roman"/>
          <w:sz w:val="18"/>
          <w:szCs w:val="18"/>
          <w:i w:val="1"/>
          <w:iCs w:val="1"/>
          <w:color w:val="auto"/>
        </w:rPr>
        <w:t>AEs</w:t>
      </w:r>
      <w:r>
        <w:rPr>
          <w:rFonts w:ascii="Times New Roman" w:cs="Times New Roman" w:eastAsia="Times New Roman" w:hAnsi="Times New Roman"/>
          <w:sz w:val="18"/>
          <w:szCs w:val="18"/>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Further, no serious adverse events (</w:t>
      </w:r>
      <w:r>
        <w:rPr>
          <w:rFonts w:ascii="Times New Roman" w:cs="Times New Roman" w:eastAsia="Times New Roman" w:hAnsi="Times New Roman"/>
          <w:sz w:val="18"/>
          <w:szCs w:val="18"/>
          <w:i w:val="1"/>
          <w:iCs w:val="1"/>
          <w:color w:val="auto"/>
        </w:rPr>
        <w:t>SAEs</w:t>
      </w:r>
      <w:r>
        <w:rPr>
          <w:rFonts w:ascii="Times New Roman" w:cs="Times New Roman" w:eastAsia="Times New Roman" w:hAnsi="Times New Roman"/>
          <w:sz w:val="18"/>
          <w:szCs w:val="18"/>
          <w:color w:val="auto"/>
        </w:rPr>
        <w:t>) were reported.</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Pharmacokinetics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of AV-101 were fully characterized across the range of doses in these Phase 1a and 1b studies. Plasma concentration-time profiles obtained for 4-Cl-KYN (AV-101) and 7-Cl-KYNA after administration of a single escalating dose (Phase 1a) and multiple, once daily oral doses of 360, 1,080, or 1,440 mg for 14 days (Phase 1b) were consistent with rapid absorption of the oral dose and first-order elimination of both analytes, with evidence of multi-compartment kinetics, particularly for the AV-101’s active metabolite, 7-Cl-KYNA.</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Although the Phase 1 safety and PK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VistaStem Therapeutics and our Stem Cell Programs</w:t>
      </w:r>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VistaStem Therapeutics (</w:t>
      </w:r>
      <w:r>
        <w:rPr>
          <w:rFonts w:ascii="Times New Roman" w:cs="Times New Roman" w:eastAsia="Times New Roman" w:hAnsi="Times New Roman"/>
          <w:sz w:val="16"/>
          <w:szCs w:val="16"/>
          <w:i w:val="1"/>
          <w:iCs w:val="1"/>
          <w:color w:val="auto"/>
        </w:rPr>
        <w:t>VistaStem</w:t>
      </w:r>
      <w:r>
        <w:rPr>
          <w:rFonts w:ascii="Times New Roman" w:cs="Times New Roman" w:eastAsia="Times New Roman" w:hAnsi="Times New Roman"/>
          <w:sz w:val="16"/>
          <w:szCs w:val="16"/>
          <w:color w:val="auto"/>
        </w:rPr>
        <w:t>) is our wholly owned subsidiary focused on applying human pluripotent stem cell (</w:t>
      </w:r>
      <w:r>
        <w:rPr>
          <w:rFonts w:ascii="Times New Roman" w:cs="Times New Roman" w:eastAsia="Times New Roman" w:hAnsi="Times New Roman"/>
          <w:sz w:val="16"/>
          <w:szCs w:val="16"/>
          <w:i w:val="1"/>
          <w:iCs w:val="1"/>
          <w:color w:val="auto"/>
        </w:rPr>
        <w:t>hPSC</w:t>
      </w:r>
      <w:r>
        <w:rPr>
          <w:rFonts w:ascii="Times New Roman" w:cs="Times New Roman" w:eastAsia="Times New Roman" w:hAnsi="Times New Roman"/>
          <w:sz w:val="16"/>
          <w:szCs w:val="16"/>
          <w:color w:val="auto"/>
        </w:rPr>
        <w:t>) technology to discover, rescue, develop and commercialize proprietary new chemical entities (</w:t>
      </w:r>
      <w:r>
        <w:rPr>
          <w:rFonts w:ascii="Times New Roman" w:cs="Times New Roman" w:eastAsia="Times New Roman" w:hAnsi="Times New Roman"/>
          <w:sz w:val="16"/>
          <w:szCs w:val="16"/>
          <w:i w:val="1"/>
          <w:iCs w:val="1"/>
          <w:color w:val="auto"/>
        </w:rPr>
        <w:t>NCEs</w:t>
      </w:r>
      <w:r>
        <w:rPr>
          <w:rFonts w:ascii="Times New Roman" w:cs="Times New Roman" w:eastAsia="Times New Roman" w:hAnsi="Times New Roman"/>
          <w:sz w:val="16"/>
          <w:szCs w:val="16"/>
          <w:color w:val="auto"/>
        </w:rPr>
        <w:t>) for our CNS development pipeline and cellular therapies and regenerative medicine (</w:t>
      </w:r>
      <w:r>
        <w:rPr>
          <w:rFonts w:ascii="Times New Roman" w:cs="Times New Roman" w:eastAsia="Times New Roman" w:hAnsi="Times New Roman"/>
          <w:sz w:val="16"/>
          <w:szCs w:val="16"/>
          <w:i w:val="1"/>
          <w:iCs w:val="1"/>
          <w:color w:val="auto"/>
        </w:rPr>
        <w:t>RM</w:t>
      </w:r>
      <w:r>
        <w:rPr>
          <w:rFonts w:ascii="Times New Roman" w:cs="Times New Roman" w:eastAsia="Times New Roman" w:hAnsi="Times New Roman"/>
          <w:sz w:val="16"/>
          <w:szCs w:val="16"/>
          <w:color w:val="auto"/>
        </w:rPr>
        <w:t xml:space="preserve">) involving hPSC-derived blood, cartilage, heart and liver cells. We used our hPSC-derived cardiomyocytes (human heart cells) to develop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our customized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bioassay system for predicting heart toxicity of drug rescue NCEs. We believe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is more comprehensive and clinically predictive than the hERG assay, which currently is the only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cardiac safety assay required by FDA guidelines, and provides us with new generation human cell-based technology to identify and evaluate drug rescue candidates and develop drug rescue NCEs for our CNS development pipeline and/or out-licensing.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 Background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Human pluripotent stem cells (</w:t>
      </w:r>
      <w:r>
        <w:rPr>
          <w:rFonts w:ascii="Times New Roman" w:cs="Times New Roman" w:eastAsia="Times New Roman" w:hAnsi="Times New Roman"/>
          <w:sz w:val="18"/>
          <w:szCs w:val="18"/>
          <w:i w:val="1"/>
          <w:iCs w:val="1"/>
          <w:color w:val="auto"/>
        </w:rPr>
        <w:t>hPSCs</w:t>
      </w:r>
      <w:r>
        <w:rPr>
          <w:rFonts w:ascii="Times New Roman" w:cs="Times New Roman" w:eastAsia="Times New Roman" w:hAnsi="Times New Roman"/>
          <w:sz w:val="18"/>
          <w:szCs w:val="18"/>
          <w:color w:val="auto"/>
        </w:rPr>
        <w:t>)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Human pluripotent stem cells are either embryonic stem cells (</w:t>
      </w:r>
      <w:r>
        <w:rPr>
          <w:rFonts w:ascii="Times New Roman" w:cs="Times New Roman" w:eastAsia="Times New Roman" w:hAnsi="Times New Roman"/>
          <w:sz w:val="18"/>
          <w:szCs w:val="18"/>
          <w:i w:val="1"/>
          <w:iCs w:val="1"/>
          <w:color w:val="auto"/>
        </w:rPr>
        <w:t>hESCs</w:t>
      </w:r>
      <w:r>
        <w:rPr>
          <w:rFonts w:ascii="Times New Roman" w:cs="Times New Roman" w:eastAsia="Times New Roman" w:hAnsi="Times New Roman"/>
          <w:sz w:val="18"/>
          <w:szCs w:val="18"/>
          <w:color w:val="auto"/>
        </w:rPr>
        <w:t>) or induced pluripotent stem cells (</w:t>
      </w:r>
      <w:r>
        <w:rPr>
          <w:rFonts w:ascii="Times New Roman" w:cs="Times New Roman" w:eastAsia="Times New Roman" w:hAnsi="Times New Roman"/>
          <w:sz w:val="18"/>
          <w:szCs w:val="18"/>
          <w:i w:val="1"/>
          <w:iCs w:val="1"/>
          <w:color w:val="auto"/>
        </w:rPr>
        <w:t>iPSCs</w:t>
      </w:r>
      <w:r>
        <w:rPr>
          <w:rFonts w:ascii="Times New Roman" w:cs="Times New Roman" w:eastAsia="Times New Roman" w:hAnsi="Times New Roman"/>
          <w:sz w:val="18"/>
          <w:szCs w:val="18"/>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These cells also have potential for diverse cellular therapy and regenerative medicine applications.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CardioSafe 3D vs. hERG Assay</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limitations of current preclinical drug testing systems used by pharmaceutical companies and others contribute to the high failure rate of NCEs. Incorporating novel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using hPSC-derived cardiomyocytes (</w:t>
      </w:r>
      <w:r>
        <w:rPr>
          <w:rFonts w:ascii="Times New Roman" w:cs="Times New Roman" w:eastAsia="Times New Roman" w:hAnsi="Times New Roman"/>
          <w:sz w:val="18"/>
          <w:szCs w:val="18"/>
          <w:i w:val="1"/>
          <w:iCs w:val="1"/>
          <w:color w:val="auto"/>
        </w:rPr>
        <w:t>hPSC-CMs</w:t>
      </w:r>
      <w:r>
        <w:rPr>
          <w:rFonts w:ascii="Times New Roman" w:cs="Times New Roman" w:eastAsia="Times New Roman" w:hAnsi="Times New Roman"/>
          <w:sz w:val="18"/>
          <w:szCs w:val="18"/>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produce functional, non-transformed hPSC-CMs at a high level of purity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cardiac toxicity assays screening for both direct cardiomyocyte cytotoxicity and arrhythmogenesis (or development of irregular beating patterns). We believe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sensitive, stable, reproducible and capable of generating data enabling a more accurate prediction of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cardiac effects of NCEs than is possible with existing preclinical testing systems, particularly the hERG assay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uses either transformed hamster ovary cells or human kidney cells and is currently the only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safety assay required by FDA Guidelines (</w:t>
      </w:r>
      <w:r>
        <w:rPr>
          <w:rFonts w:ascii="Times New Roman" w:cs="Times New Roman" w:eastAsia="Times New Roman" w:hAnsi="Times New Roman"/>
          <w:sz w:val="18"/>
          <w:szCs w:val="18"/>
          <w:i w:val="1"/>
          <w:iCs w:val="1"/>
          <w:color w:val="auto"/>
        </w:rPr>
        <w:t>ICH57B</w:t>
      </w:r>
      <w:r>
        <w:rPr>
          <w:rFonts w:ascii="Times New Roman" w:cs="Times New Roman" w:eastAsia="Times New Roman" w:hAnsi="Times New Roman"/>
          <w:sz w:val="18"/>
          <w:szCs w:val="18"/>
          <w:color w:val="auto"/>
        </w:rPr>
        <w:t>). We believe the clinical predictivity of the hERG assay is limited because it assesses only a single cardiac ion channel - the hERG potassium ion channel – and does not assess any other clinically relevant cardiac ion channels, including calcium, non-hERG potassium and sodium ion channels.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believe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provides valuable and more comprehensive bioanalytical tools for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cardiac safety screening than the hERG assay.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Using CardioSafe 3D to Develop Drug Rescue NCEs</w:t>
      </w:r>
    </w:p>
    <w:p>
      <w:pPr>
        <w:spacing w:after="0" w:line="22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 xml:space="preserve">Our drug rescue activities are focused on producing for our internal CNS pipeline or out-licensing proprietary, safer variants of still-promising NCEs previously discovered, optimized and tested for efficacy by pharmaceutical companies and others but terminated before FDA approval due to unexpected heart toxicity. Our drug rescue strategy involves using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to assess the cardiac toxicity that caused certain NCEs available in the public to be terminated, and using that insight to produce and develop a new, potentially safer, and proprietary NCEs for our CNS pipeline or out-licensing.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6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 xml:space="preserve">By using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to enhance our understanding of the cardiac liability profile of NCEs, insight not previously available when the NCEs were originally discovered, optimized for efficacy and developed, we believe we can demonstrate preclinical proof-of-concept (</w:t>
      </w:r>
      <w:r>
        <w:rPr>
          <w:rFonts w:ascii="Times New Roman" w:cs="Times New Roman" w:eastAsia="Times New Roman" w:hAnsi="Times New Roman"/>
          <w:sz w:val="16"/>
          <w:szCs w:val="16"/>
          <w:i w:val="1"/>
          <w:iCs w:val="1"/>
          <w:color w:val="auto"/>
        </w:rPr>
        <w:t>POC</w:t>
      </w:r>
      <w:r>
        <w:rPr>
          <w:rFonts w:ascii="Times New Roman" w:cs="Times New Roman" w:eastAsia="Times New Roman" w:hAnsi="Times New Roman"/>
          <w:sz w:val="16"/>
          <w:szCs w:val="16"/>
          <w:color w:val="auto"/>
        </w:rPr>
        <w:t xml:space="preserve">) as to the efficacy and safety of new, safer drug rescue NCEs in standard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models, as well as in </w:t>
      </w:r>
      <w:r>
        <w:rPr>
          <w:rFonts w:ascii="Times New Roman" w:cs="Times New Roman" w:eastAsia="Times New Roman" w:hAnsi="Times New Roman"/>
          <w:sz w:val="16"/>
          <w:szCs w:val="16"/>
          <w:i w:val="1"/>
          <w:iCs w:val="1"/>
          <w:color w:val="auto"/>
        </w:rPr>
        <w:t>CardioSafe</w:t>
      </w:r>
      <w:r>
        <w:rPr>
          <w:rFonts w:ascii="Times New Roman" w:cs="Times New Roman" w:eastAsia="Times New Roman" w:hAnsi="Times New Roman"/>
          <w:sz w:val="16"/>
          <w:szCs w:val="16"/>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goal in each drug rescue program will be to produce a proprietary drug rescue NCE and establish its preclinical POC, using standard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efficacy and safety models, as well as</w:t>
      </w:r>
      <w:r>
        <w:rPr>
          <w:rFonts w:ascii="Times New Roman" w:cs="Times New Roman" w:eastAsia="Times New Roman" w:hAnsi="Times New Roman"/>
          <w:sz w:val="18"/>
          <w:szCs w:val="18"/>
          <w:i w:val="1"/>
          <w:iCs w:val="1"/>
          <w:color w:val="auto"/>
        </w:rPr>
        <w:t xml:space="preserve"> CardioSafe </w:t>
      </w:r>
      <w:r>
        <w:rPr>
          <w:rFonts w:ascii="Times New Roman" w:cs="Times New Roman" w:eastAsia="Times New Roman" w:hAnsi="Times New Roman"/>
          <w:sz w:val="18"/>
          <w:szCs w:val="18"/>
          <w:color w:val="auto"/>
        </w:rPr>
        <w:t>3D. In this context, POC means that the lead drug rescue NCE, as compared to the original, previously-terminated 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demonstrates both (i) equal or superior efficacy in the same, or a similar,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efficacy models used by the initial developer of the previously-terminated NCE before it was terminated for safety reasons, and (ii) significant reduction of concentration dependent cardiotoxicity in </w:t>
      </w:r>
      <w:r>
        <w:rPr>
          <w:rFonts w:ascii="Times New Roman" w:cs="Times New Roman" w:eastAsia="Times New Roman" w:hAnsi="Times New Roman"/>
          <w:sz w:val="18"/>
          <w:szCs w:val="18"/>
          <w:i w:val="1"/>
          <w:iCs w:val="1"/>
          <w:color w:val="auto"/>
        </w:rPr>
        <w:t xml:space="preserve">CardioSafe </w:t>
      </w:r>
      <w:r>
        <w:rPr>
          <w:rFonts w:ascii="Times New Roman" w:cs="Times New Roman" w:eastAsia="Times New Roman" w:hAnsi="Times New Roman"/>
          <w:sz w:val="18"/>
          <w:szCs w:val="18"/>
          <w:color w:val="auto"/>
        </w:rPr>
        <w:t>3D.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Regenerative Medicine</w:t>
      </w:r>
    </w:p>
    <w:p>
      <w:pPr>
        <w:spacing w:after="0" w:line="2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We believe stem cell technology-based cell therapy and regenerative medicine (RM) have the potential to transform healthcare in the U.S. and certain other large markets over the next decade by providing new approaches for treating the fundamental mechanisms of disease. We currently intend to establish strategic cell therapy- and/or RM-focused collaborations to leverage our stem cell technology platform, our expertise in human biology, differentiation of human pluripotent stem cells to develop functional adult human cells and tissues involved in human disease, including blood, bone, cartilage, heart and liver cells for cell therapy and RM purposes. In December 2016, we exclusively sublicensed to BlueRock Therapeutics, a next generation RM company established by Bayer AG and Versant Ventures, rights to certain proprietary technologies relating to the production of cardiac stem cells for the treatment of heart disease. In a manner similar to our exclusive sublicense agreement with BlueRock Therapeutics, we may pursue additional cell therapy and RM collaborations or licensing transactions involving blood, cartilage, and/or liver cells derived from hPSCs for cell-based therapy, cell repair therapy, and/or tissue engineering.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rely upon patents as a major component of our intellectual property (</w:t>
      </w:r>
      <w:r>
        <w:rPr>
          <w:rFonts w:ascii="Times New Roman" w:cs="Times New Roman" w:eastAsia="Times New Roman" w:hAnsi="Times New Roman"/>
          <w:sz w:val="18"/>
          <w:szCs w:val="18"/>
          <w:i w:val="1"/>
          <w:iCs w:val="1"/>
          <w:color w:val="auto"/>
        </w:rPr>
        <w:t>IP</w:t>
      </w:r>
      <w:r>
        <w:rPr>
          <w:rFonts w:ascii="Times New Roman" w:cs="Times New Roman" w:eastAsia="Times New Roman" w:hAnsi="Times New Roman"/>
          <w:sz w:val="18"/>
          <w:szCs w:val="18"/>
          <w:color w:val="auto"/>
        </w:rPr>
        <w:t>) portfolio, as is typical for development-stage biopharmaceutical companies. In addition, from time to time, we enter into patent license agreements to acquire rights to IP and to provide certain IP rights to commercialization partners. We also rely, in part, on trade secrets for protection of some of our discoveries. We seek to protect our trade secrets by entering into confidentiality agreements with employees, consultants, collaborators and third parties. We also own several registered and common-law trademarks.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 help protect our IP rights, our employees, contractors and consultants also sign agreements in which they assign to us, for example, their interests in patents, trade secrets and copyrights arising from their work for us.</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From time to time, we may sponsor or facilitate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IP rights in the results of the sponsored research.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a portfolio of IP assets around AV-101, which involves obtaining patents and protecting trade secrets. In addition to these IP assets, we plan to seek regulatory exclusivity for the use of AV-101, with initial emphasis on treating depression as our lead indication in clinical development. These two approaches to obtaining exclusivity exist separately in the US and in several other countries and would be expected to provide complementary protection in countries where they are available.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AV-101 (also known as L-4-Cl-kynurenine) is not itself patent protected as a chemical compound, as part of our strategy to seek and secure broad commercial exclusivity for AV-101, we have pursued related patents in the U.S., Europe, and other selected major pharmaceutical markets, including China, Japan and Korea. For example, some of our granted AV-101 patents and pending applications relate to the treatment of depression and others relate to the treatment of additional CNS diseases and disorders, including, among others, Parkinson’s disease levodopa-induced dyskinesia and the management of certain types of neuropathic pain. Several of these patent applications were allowed or have been granted, relating to certain oral unit dose formulations of AV-101 without any restriction as to the particular medical condition, disease or disorder to be treated and, in certain countries, relating to novel therapeutic methods for treatment of depression and levodopa-induced dyskinesia. Additional granted patents and pending applications involve methods to synthesize AV-101. We expect that our granted patents will not begin to expire until 2034, and we plan to seek patent term extensions in places, such as the U.S., Europe and Japan, where they are available.</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noted elsewhere in this Annual Report, we are currently involved with the NIMH Study being conducted by the NIMH. As part of our analysis of the study results, we will be evaluating the possibility of seeking additional patent protection in the U.S., Europe, China, Japan, Korea and selected major markets based on the clinical data and on clinical observations.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mentioned above, a complementary component of our plan is to obtain regulatory exclusivity for approved therapeutic indications for AV-101. For example, the FDA’s New Drug Product Exclusivity is available for NCEs such as AV-101, which have not been previously approved by the FDA. This provides the holder of an FDA-approved NDA with up to five years of protection from competition in the U.S. marketplace from generic versions of the same product. As applicable, we will pursue similar types of regulatory exclusivity in other regions, such as Europe, and in certain other countries.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guarantee that we will be successful in obtaining any additional patents related to AV-101 in the U.S., Europe, or any other country, or that if we are successful in obtaining any patents that we would also be successful in protecting those patents against challengers or in enforcing them to stop infringement. Outside the U.S. and Europe, we are pursuing patent rights in a limited number of countries that we believe are the major markets for pharmaceuticals where having patent rights should substantially facilitate commercialization of AV-101.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Stem Cell Technology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obtained and are pursuing IP rights to several stem cell technologies through a combination of our own patent properties, exclusive and non-exclusive patent and technology licenses, and participation in sponsored research relationships. Generally, our stem cell IP portfolio relates to drug development and drug discovery. It also relates to production systems of enriched populations of certain stem cell and differentiated cell types, such as cardiomyocytes, and the use of various cell types that have been differentiated from pluripotent stem cells for those and other purposes including cell-based therapy and RM. Additionally, we maintain certain trade secrets regarding our stem cell technology.</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Overall, our stem cell patent portfolio includes several issued U.S. patents and pending patent applications as well as foreign counterpart patents and applications in countries of commercial interest to us such as China, Japan and Korea.</w:t>
      </w:r>
    </w:p>
    <w:p>
      <w:pPr>
        <w:spacing w:after="0" w:line="174"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patent properties in these families are based on discoveries from our internal research and development activities, research that we have sponsored at various academic institutions, as well as from patent license agreements signed with the University Health Network (Toronto) and the Mount Sinai School of Medicine.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license agreements generally require us to pay nominal annual license fees, and, in certain cases, patent prosecution and maintenance fees, and royalty payments that vary based on product sales and services that are covered by the licensed patent rights, as well fees for sublicensing. As noted above in the context of AV-101 IP, there is also no guarantee that we will successfully obtain stem cell related patents in the countries in which we are pursuing patent rights or that we would be successful in enforcing granted patent rights against infringers.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December 2016, we exclusively sublicensed to BlueRock Therapeutics, Inc., a company founded by Bayer AG and Versant Ventures to usher in a new era of cell-based medicine that repairs the body when it cannot repair itself, rights to certain proprietary technologies relating to the production of cardiac stem cells for the treatment of heart disease.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1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Strategic collaborations are an important cornerstone of our corporate development strategy. We believe that our highly selective outsourcing of certain research, development, manufacturing and regulatory activities gives us flexible access to a broad range of capabilities and expertise at a lower overall cost than developing and maintaining such capabilities and expertise internally on a full-time basis. In particular, we contract with third parties for certain manufacturing, nonclinical development, clinical development and regulatory affairs support. Our current strategic collaborations include our CRADA with the NIMH, pursuant to which the NIMH is conducting the NIMH Study, and our relationships with Cato Research Ltd. as our contract research organization (</w:t>
      </w:r>
      <w:r>
        <w:rPr>
          <w:rFonts w:ascii="Times New Roman" w:cs="Times New Roman" w:eastAsia="Times New Roman" w:hAnsi="Times New Roman"/>
          <w:sz w:val="16"/>
          <w:szCs w:val="16"/>
          <w:i w:val="1"/>
          <w:iCs w:val="1"/>
          <w:color w:val="auto"/>
        </w:rPr>
        <w:t>CRO</w:t>
      </w:r>
      <w:r>
        <w:rPr>
          <w:rFonts w:ascii="Times New Roman" w:cs="Times New Roman" w:eastAsia="Times New Roman" w:hAnsi="Times New Roman"/>
          <w:sz w:val="16"/>
          <w:szCs w:val="16"/>
          <w:color w:val="auto"/>
        </w:rPr>
        <w:t>) for the ELEVATE Study and Norac Pharma as our contract manufacturing organization (</w:t>
      </w:r>
      <w:r>
        <w:rPr>
          <w:rFonts w:ascii="Times New Roman" w:cs="Times New Roman" w:eastAsia="Times New Roman" w:hAnsi="Times New Roman"/>
          <w:sz w:val="16"/>
          <w:szCs w:val="16"/>
          <w:i w:val="1"/>
          <w:iCs w:val="1"/>
          <w:color w:val="auto"/>
        </w:rPr>
        <w:t>CMO</w:t>
      </w:r>
      <w:r>
        <w:rPr>
          <w:rFonts w:ascii="Times New Roman" w:cs="Times New Roman" w:eastAsia="Times New Roman" w:hAnsi="Times New Roman"/>
          <w:sz w:val="16"/>
          <w:szCs w:val="16"/>
          <w:color w:val="auto"/>
        </w:rPr>
        <w:t>) currently responsible for the production of our AV-101 drug substance.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marketing approval. As a key part of our product development approach, we aim to complete formulation work at an early stage of development, such that our clinical studies are conducted with a formulation that has the potential for eventual scale-up. All of our product candidates are small molecules and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develop and, if approved by the FDA, to commercialize our product candidates in the United States. We may work in combination with one or more pharmaceutical partners for certain indications, where specialist capabilities are needed. Depending on the specific development path pursued, this may include larger depression and neuropathic pain indications. For other, more specialized indications, we intend to commercialize our product candidates independently. For example, we believe the patient and prescriber populations for PD LID are relatively concentrated and can be addressed with a focused sales team. We will, however, continuously review our partnering strategy in the light of new clinical data and market understanding. We may enter into development and/or commercialization arrangements for commercialization rights for other regions outside the United States.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highly competitive and subject to rapid and significant technological change. The large and growing markets for MDD, neuropathic pain, PD LID, and other CNS diseases and disorders make them attractive therapeutic areas for biopharmaceutical businesses. We face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studies, obtaining regulatory approvals, and marketing approved products than we do. Several of these entities have commercial products, robust drug pipelines, readily available capital, and established research and development organizations.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 or early-stage companies may also prove to be significant competitors, particularly through collaborative arrangements with large and established companies. It is probable that the number of companies seeking to develop products and therapies similar to our products will increase. The key competitive factors affecting the success of all of our product candidates, if approved, are likely to be their efficacy, safety, convenience, price, the level of branded and generic competition, and the availability of reimbursement from government and other third-party payors.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currently there are no FDA-approved therapies for MDD with the mechanism of action of AV-101, we are aware of a number of pharmaceutical, biotechnology, and specialty pharmaceutical companies that are developing therapies targeting NMDA receptors. Most of the therapies being developed are broad NMDA receptor antagonists and tend to have multiple target actions, we believe AV-101 is an NMDA receptor GlyB antagonist and is truly modulatory, without negative off-target activity in preclinical screening. We are aware of the following companies developing or commercializing NMDA receptor-targeted therapies, including but not limited to, Adamas Pharmaceuticals, Allergan, AmKor Pharma, Aptynix, Avanir Pharmaceuticals, Axsome Therapeutics, Biohaven Pharmaceutical Holding Co. Ltd., Cadent Therapeutics, Cerecor, Eli Lilly, Genentech, Immune Pharmaceuticals, Intra-Cellular Therapies, Janssen Pharmaceuticals, NeuroRx, Newron Pharmaceuticals, Otonomy, Relmada Therapeutics, Sage Therapeutics and UCB. In the field of new generation, orally available, adjunctive treatments of adult MDD patients with an inadequate response to standard antidepressants, and with an initial objective of displacing atypical antipsychotics in the current MDD drug treatment paradigm, we believe our principal competitor may be Alkermes’ orally available drug candidate, ALKS-5461, an opioid modulator for which Alkermes has submitted an NDA with the FDA.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expect that AV-101 will have to compete with a variety of therapeutic procedures. such as psychotherapy and electroconvulsive therapy.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our employees and consultants, scientific knowledge, technology, and development experience provide us with competitive advantages,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believe that VistaStem’s stem cell technology platform, the hPSC-derived human cells we produce, and the customized human cell-based assay systems we have formulated and developed are capable of being competitive in the diverse and growing global stem cell, cell therapy and RM markets, including markets involving the sale of hPSC-derived cells to third-parties for their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drug discovery and safety testing, contract predictive toxicology drug screening services for third parties, internal drug discovery, drug development and drug rescue of new NCEs, and RM, including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cell therapy research and development. A representative list of such biopharmaceutical companies pursuing one or more of these potential applications of adult and/or hPSC technology includes the following: Acea Biosciences, Astellas, Athersys, BioCardia, BioTime, Caladrius Biosciences, Cellectis Bioresearch, Cellerant Therapeutics, Cytori Therapeutics, Fujifilm Holdings, HemoGenix, International Stem Cell, Neuralstem, Organovo Holdings, PluriStem Therapeutics, and Stemina BioMarker Discovery. Pharmaceutical companies and other established corporations such as Bristol-Myers Squibb, Charles River, GE Healthcare Life Sciences, GlaxoSmithKline, Novartis, Pfizer, Roche Holdings, Thermo Fisher Scientific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ectPr>
          <w:pgSz w:w="11900" w:h="16838" w:orient="portrait"/>
          <w:cols w:equalWidth="0" w:num="1">
            <w:col w:w="11420"/>
          </w:cols>
          <w:pgMar w:left="240" w:top="126" w:right="239" w:bottom="9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919" w:gutter="0" w:footer="0" w:header="0"/>
          <w:type w:val="continuous"/>
        </w:sectPr>
      </w:pPr>
    </w:p>
    <w:bookmarkStart w:id="14" w:name="page15"/>
    <w:bookmarkEnd w:id="1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activities, including the manufacturing, research, development and marketing of our product candidates, are subject to extensive regulation by numerous governmental authorities in the United States and other countries. Before marketing in the United States, any new drug developed by us or our collaborators must undergo rigorous preclinical testing, clinical trials and an extensive regulatory clearance process implemented by the United States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under the Federal Food, Drug, and Cosmetic Act, as amended. The FDA regulates, among other things, the development, testing, manufacture, safety, efficacy, record keeping, labeling, storage, approval, advertising, promotion, import, export, sale and distribution of biopharmaceutical products. The regulatory review and approval process, which includes preclinical testing and clinical trials of each product candidate, is lengthy, expensive and uncertain. Moreover, government coverage and reimbursement policies will both directly and indirectly impact our ability to successfully commercialize any future approved products, and such coverage and reimbursement policies will be impacted by enacted and any applicable future healthcare reform and drug pricing measures. In addition, we are subject to state and federal laws, including, among others, anti-kickback laws, false claims laws, data privacy and security laws, and transparency laws that restrict certain business practices in the pharmaceutical industry.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drug product candidates intended for human use undergo laboratory and animal testing until adequate proof of safety is established. Clinical trials for new product candidates are then typically conducted in humans in three sequential phases that may overlap. Phase 1 trials involve the initial introduction of the product candidate into healthy human volunteers. The emphasis of Phase 1 trials is on testing for safety or adverse effects, dosage, tolerance, metabolism, distribution, excretion and clinical pharmacology. Phase 2 involves studies in a limited patient population to determine the initial efficacy of the compound for specific targeted indications, to determine dosage tolerance and optimal dosage, and to identify possible adverse side effects and safety risks. Once a compound shows evidence of effectiveness and is found to have an acceptable safety profile in Phase 2 evaluations, Phase 3 trials are undertaken to more fully evaluate clinical outcomes. Before commencing clinical investigations in humans, we or our collaborators must submit an Investigational New Drug Application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to the FDA.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authorities, Institutional Review Boards and Data Monitoring Committees may require additional data before allowing clinical studies to commence, continue or proceed from one phase to another, and could demand that studies be discontinued or suspended at any time if there are significant safety issues. We have in the past and may in the future rely on assistance from our third-party collaborators and contract service providers to file our INDs and generally support our development and regulatory activities approval process for our potential products. Clinical testing must also meet requirements for clinical trial registration, institutional review board oversight, informed consent, health information privacy, and good clinical practices, or GCPs. Additionally, the manufacture of our drug product, must be done in accordance with current good manufacturing practices (</w:t>
      </w:r>
      <w:r>
        <w:rPr>
          <w:rFonts w:ascii="Times New Roman" w:cs="Times New Roman" w:eastAsia="Times New Roman" w:hAnsi="Times New Roman"/>
          <w:sz w:val="18"/>
          <w:szCs w:val="18"/>
          <w:i w:val="1"/>
          <w:iCs w:val="1"/>
          <w:color w:val="auto"/>
        </w:rPr>
        <w:t>cGMPs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establish a new product candidate’s safety and efficacy, the FDA requires companies seeking approval to market a drug product to submit extensive preclinical and clinical data, along with other information, for each indication for which the product will be labeled. The data and information are submitted to the FDA in the form of a New Drug Application (</w:t>
      </w:r>
      <w:r>
        <w:rPr>
          <w:rFonts w:ascii="Times New Roman" w:cs="Times New Roman" w:eastAsia="Times New Roman" w:hAnsi="Times New Roman"/>
          <w:sz w:val="18"/>
          <w:szCs w:val="18"/>
          <w:i w:val="1"/>
          <w:iCs w:val="1"/>
          <w:color w:val="auto"/>
        </w:rPr>
        <w:t>NDA</w:t>
      </w:r>
      <w:r>
        <w:rPr>
          <w:rFonts w:ascii="Times New Roman" w:cs="Times New Roman" w:eastAsia="Times New Roman" w:hAnsi="Times New Roman"/>
          <w:sz w:val="18"/>
          <w:szCs w:val="18"/>
          <w:color w:val="auto"/>
        </w:rPr>
        <w:t>), which must be accompanied by payment of a significant user fee unless a waiver or exemption applies. Generating the required data and information for an NDA takes many years and requires the expenditure of substantial resources. Information generated in this process is susceptible to varying interpretations that could delay, limit or prevent regulatory approval at any stage of the process. The failure to demonstrate adequately the quality, safety and efficacy of a product candidate under development would delay or prevent regulatory approval of the product candidate. Under applicable laws and FDA regulations, each NDA submitted for FDA approval is given an internal administrative review within 60 days following submission of the NDA. If deemed sufficiently complete to permit a substantive review, the FDA will “file” the NDA. The FDA can refuse to file any NDA that it deems incomplete or not properly reviewable. The FDA has established internal goals of eight months from submission for priority review of NDAs that cover product candidates that offer major advances in treatment or provide a treatment where no adequate therapy exists, and 12 months from submission for the standard review of NDAs. However, the FDA is not legally required to complete its review within these periods, these performance goals may change over time and the review is often extended by FDA requests for additional information or clarification. Moreover, the outcome of the review, even if generally favorable, may not be an actual approval but a “complete response letter” that describes additional work that must be done before the NDA can be approved. Before approving an NDA, the FDA can choose to inspect the facilities at which the product is manufactured and will not approve the product unless the manufacturing facility complies with cGMPs. The FDA may also audit sites at which clinical trials have been conducted to determine compliance with GCPs and data integrity. The FDA’s review of an NDA may also involve review and recommendations by an independent FDA advisory committee, particularly for novel indications. The FDA is not bound by the recommendation of an advisory committee.</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delays or rejections may be encountered based upon changes in regulatory policy, regulations or statutes governing product approval during the period of product development and regulatory agency review.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receiving FDA approval to market a potential product, we or our collaborators must demonstrate through adequate and well-controlled clinical studies that the potential product is safe and effective in the patient population that will be treated. 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unless a waiver applies. If regulatory approval of a potential product is granted, this approval will be limited to those disease states and conditions for which the product is approved. Marketing or promoting a drug for an unapproved indication is generally prohibited. Furthermore, FDA approval may entail ongoing requirements for risk management, including post-marketing, or Phase 4, studies. Even if approval is obtained, a marketed product, its manufacturer and its manufacturing facilities are subject to payment of significant annual fees and continuing review and periodic inspections by the FDA. Discovery of previously unknown problems with a product, manufacturer or facility may result in restrictions on the product or manufacturer, including labeling changes, warning letters, costly recalls or withdrawal of the product from the market.</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at any time in the course of studies in animals designed to identify unacceptable effects of a product candidate, known as toxicological studies, or during clinical trials of our potential products. The appearance of any unacceptable toxicity or side effect could cause us or regulatory authorities to interrupt, limit, delay or abort the development of any of our product candidates. Further, such unacceptable toxicity or side effects could ultimately prevent a potential product’s approval by the FDA or foreign regulatory authorities for any or all targeted indications or limit any labeling claims and market acceptance, even if the product is approved.</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as a condition of approval, the FDA may require an applicant to develop a Risk Evaluation and Mitigation Strategy, or </w:t>
      </w:r>
      <w:r>
        <w:rPr>
          <w:rFonts w:ascii="Times New Roman" w:cs="Times New Roman" w:eastAsia="Times New Roman" w:hAnsi="Times New Roman"/>
          <w:sz w:val="18"/>
          <w:szCs w:val="18"/>
          <w:i w:val="1"/>
          <w:iCs w:val="1"/>
          <w:color w:val="auto"/>
        </w:rPr>
        <w:t>REMS</w:t>
      </w:r>
      <w:r>
        <w:rPr>
          <w:rFonts w:ascii="Times New Roman" w:cs="Times New Roman" w:eastAsia="Times New Roman" w:hAnsi="Times New Roman"/>
          <w:sz w:val="18"/>
          <w:szCs w:val="18"/>
          <w:color w:val="auto"/>
        </w:rPr>
        <w:t>. A REMS uses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w:t>
      </w:r>
      <w:r>
        <w:rPr>
          <w:rFonts w:ascii="Times New Roman" w:cs="Times New Roman" w:eastAsia="Times New Roman" w:hAnsi="Times New Roman"/>
          <w:sz w:val="18"/>
          <w:szCs w:val="18"/>
          <w:i w:val="1"/>
          <w:iCs w:val="1"/>
          <w:color w:val="auto"/>
        </w:rPr>
        <w:t>ETASU</w:t>
      </w:r>
      <w:r>
        <w:rPr>
          <w:rFonts w:ascii="Times New Roman" w:cs="Times New Roman" w:eastAsia="Times New Roman" w:hAnsi="Times New Roman"/>
          <w:sz w:val="18"/>
          <w:szCs w:val="18"/>
          <w:color w:val="auto"/>
        </w:rPr>
        <w:t>).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trade name that we intend to use for a potential product must be approved by the FDA irrespective of whether we have secured a formal trademark registration from the U.S. Patent and Trademark Office. The FDA conducts a rigorous review of proposed product names, and may reject a product name if it believes that the name inappropriately implies medical claims or if it poses the potential for confusion with other product names. The FDA will not approve a trade name until the NDA for a product is approved. If the FDA determines that the trade names of other products that are approved prior to the approval of our potential products may present a risk of confusion with our proposed trade name, the FDA may elect to not approve our proposed trade name. If our trade name is rejected, we will lose the benefit of any brand equity that may already have been developed for this trade name, as well as the benefit of our existing trademark applications for this trade name.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collaborators and contract manufacturers also are required to comply with the applicable FDA cGMP regulations. cGMP regulations include requirements relating to quality control and quality assurance as well as the corresponding maintenance of records and documentation. Manufacturing facilities are subject to inspection by the FDA. These facilities must be approved before we can use them in commercial manufacturing of our potential products and must maintain ongoing compliance for commercial product manufacture. The FDA may conclude that we or our collaborators or contract manufacturers are not in compliance with applicable cGMP requirements and other FDA regulatory requirements, which may result in delay or failure to approve applications, warning letters, product recalls and/or imposition of fines or penalties.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product is approved, we must also comply with post-marketing requirements, including, but not limited to, compliance with advertising and promotion laws enforced by various government agencies, including the FDA’s Office of Prescription Drug Promotion, through such laws as the Prescription Drug Marketing Act, federal and state anti-fraud and abuse laws, including anti-kickback and false claims laws, healthcare information privacy and security laws, post-marketing safety surveillance, and disclosure of payments or other transfers of value to healthcare professionals and entities. In addition, we are subject to other federal and state regulation including, for example, the implementation of corporate compliance programs.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elect to distribute our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of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Community (</w:t>
      </w:r>
      <w:r>
        <w:rPr>
          <w:rFonts w:ascii="Times New Roman" w:cs="Times New Roman" w:eastAsia="Times New Roman" w:hAnsi="Times New Roman"/>
          <w:sz w:val="18"/>
          <w:szCs w:val="18"/>
          <w:i w:val="1"/>
          <w:iCs w:val="1"/>
          <w:color w:val="auto"/>
        </w:rPr>
        <w:t>EC</w:t>
      </w:r>
      <w:r>
        <w:rPr>
          <w:rFonts w:ascii="Times New Roman" w:cs="Times New Roman" w:eastAsia="Times New Roman" w:hAnsi="Times New Roman"/>
          <w:sz w:val="18"/>
          <w:szCs w:val="18"/>
          <w:color w:val="auto"/>
        </w:rPr>
        <w:t>), centralized registration procedures are available to companies wishing to market a product in more than one EC member state. If the regulatory authority is satisfied that adequate evidence of safety, quality and efficacy has been presented, marketing authorization will be granted. This foreign regulatory development and approval process involves all of the risks associated with achieving FDA marketing approval in the U.S. as discussed above. In addition, foreign regulations may include applicable post-marketing requirements, including safety surveillance, anti-fraud and abuse laws, and implementation of corporate compliance programs and reporting of payments or other transfers of value to healthcare professionals and entities.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Potential sales of AV-101 or any other future product candidate, if approved, will depend, at least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assure that other payors will also provide coverage for the drug product.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future revenues and results of operations. Decreases in third-party reimbursement or a decision by a third-party payor to not cover AV-101, if approved, or any future approved products could reduce physician usage of our products, and have a material adverse effect on our sales, results of operations and financial condition.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Part D program provides a voluntary outpatient drug benefit to Medicare beneficiaries for certain products. We do not know whether AV-101, if approved, or any other future product candidate will be eligible for coverage under Medicare Part D, but individual Medicare Part D plans offer coverage subject to various factors such as those described above. In addition, while Medicare Part D plans have historically included “all or substantially all” drugs in the following designated classes of “clinical concern” on their formularies: anticonvulsants, antidepressants, antineoplastics, antipsychotics, antiretrovirals, and immunosuppressants, the Centers for Medicare and Medicaid Services (</w:t>
      </w:r>
      <w:r>
        <w:rPr>
          <w:rFonts w:ascii="Times New Roman" w:cs="Times New Roman" w:eastAsia="Times New Roman" w:hAnsi="Times New Roman"/>
          <w:sz w:val="18"/>
          <w:szCs w:val="18"/>
          <w:i w:val="1"/>
          <w:iCs w:val="1"/>
          <w:color w:val="auto"/>
        </w:rPr>
        <w:t>CMS</w:t>
      </w:r>
      <w:r>
        <w:rPr>
          <w:rFonts w:ascii="Times New Roman" w:cs="Times New Roman" w:eastAsia="Times New Roman" w:hAnsi="Times New Roman"/>
          <w:sz w:val="18"/>
          <w:szCs w:val="18"/>
          <w:color w:val="auto"/>
        </w:rPr>
        <w:t>) has in the past proposed, but not adopted, changes to this policy. If this policy is changed in the future and if CMS no longer considers the antidepressant class to be of “clinical concern”, Medicare Part D plans would have significantly more discretion to reduce the number of products covered in that class. Furthermore, private payors often follow Medicare coverage policies and payment limitations in setting their own coverage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Laws and Regulations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Sales of AV-101,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86" w:lineRule="exact"/>
        <w:rPr>
          <w:sz w:val="20"/>
          <w:szCs w:val="20"/>
          <w:color w:val="auto"/>
        </w:rPr>
      </w:pPr>
    </w:p>
    <w:p>
      <w:pPr>
        <w:jc w:val="both"/>
        <w:ind w:left="660" w:right="2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xml:space="preserve"> )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xml:space="preserve"> )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7" w:name="page18"/>
    <w:bookmarkEnd w:id="1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w:t>
      </w:r>
    </w:p>
    <w:p>
      <w:pPr>
        <w:spacing w:after="0" w:line="19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Additionally, to the extent that our product is sold in a foreign country, we may be subject to similar foreign laws as well to compliance with the U.S Foreign Corrupt Practices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Stem Cell Technology - United States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Times New Roman" w:cs="Times New Roman" w:eastAsia="Times New Roman" w:hAnsi="Times New Roman"/>
          <w:sz w:val="18"/>
          <w:szCs w:val="18"/>
          <w:i w:val="1"/>
          <w:iCs w:val="1"/>
          <w:color w:val="auto"/>
        </w:rPr>
        <w:t>ISSCR</w:t>
      </w:r>
      <w:r>
        <w:rPr>
          <w:rFonts w:ascii="Times New Roman" w:cs="Times New Roman" w:eastAsia="Times New Roman" w:hAnsi="Times New Roman"/>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1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it is not yet clear what affect, if any, state actions may have on our ability to commercialize stem cell technologies.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and Inter-Corporate Relationships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VistaGen Therapeutics. Inc., a California corporation, dba 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is our wholly-owned subsidiary and has two wholly-owned subsidiaries: VistaStem Canada Inc., a corporation incorporated pursuant to the laws of the Province of Ontario, and Artemis Neuroscience, Inc., a corporation incorporated pursuant to the laws of the State of Maryland. The operations of VistaStem, and each of its wholly owned subsidiaries are managed by our senior management team based in South San Francisco, California.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VistaGen Therapeutics, Inc., a California corporation incorporated on May 26, 1998, dba VistaStem, is our wholly-owned subsidiary. Excaliber Enterprises, Ltd. (</w:t>
      </w:r>
      <w:r>
        <w:rPr>
          <w:rFonts w:ascii="Times New Roman" w:cs="Times New Roman" w:eastAsia="Times New Roman" w:hAnsi="Times New Roman"/>
          <w:sz w:val="18"/>
          <w:szCs w:val="18"/>
          <w:i w:val="1"/>
          <w:iCs w:val="1"/>
          <w:color w:val="auto"/>
        </w:rPr>
        <w:t>Excaliber</w:t>
      </w:r>
      <w:r>
        <w:rPr>
          <w:rFonts w:ascii="Times New Roman" w:cs="Times New Roman" w:eastAsia="Times New Roman" w:hAnsi="Times New Roman"/>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Shortly after the Merger, Excaliber’s name was changed to “VistaGen Therapeutics, Inc.” (a Nevada corporation).</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Additionally, the Consolidated Balance Sheets reflect the $0.001 par value of Excaliber’s common stock.</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included in Item 8 of this Annual Report represent the activity of VistaStem from May 26, 1998, and the consolidated activity of VistaStem and Excaliber (now VistaGen Therapeutics, Inc., a Nevada corporation), from May 11, 2011 (the date of the Merger) through March 31, 2018. The Consolidated Financial Statements also include the accounts of VistaStem’s two inactive wholly-owned subsidiaries, Artemis Neuroscience, Inc., a Maryland corporation (</w:t>
      </w:r>
      <w:r>
        <w:rPr>
          <w:rFonts w:ascii="Times New Roman" w:cs="Times New Roman" w:eastAsia="Times New Roman" w:hAnsi="Times New Roman"/>
          <w:sz w:val="18"/>
          <w:szCs w:val="18"/>
          <w:i w:val="1"/>
          <w:iCs w:val="1"/>
          <w:color w:val="auto"/>
        </w:rPr>
        <w:t>Artemis</w:t>
      </w:r>
      <w:r>
        <w:rPr>
          <w:rFonts w:ascii="Times New Roman" w:cs="Times New Roman" w:eastAsia="Times New Roman" w:hAnsi="Times New Roman"/>
          <w:sz w:val="18"/>
          <w:szCs w:val="18"/>
          <w:color w:val="auto"/>
        </w:rPr>
        <w:t>), and VistaStem Canada, Inc., a corporation organized under the laws of Ontario, Canada (</w:t>
      </w:r>
      <w:r>
        <w:rPr>
          <w:rFonts w:ascii="Times New Roman" w:cs="Times New Roman" w:eastAsia="Times New Roman" w:hAnsi="Times New Roman"/>
          <w:sz w:val="18"/>
          <w:szCs w:val="18"/>
          <w:i w:val="1"/>
          <w:iCs w:val="1"/>
          <w:color w:val="auto"/>
        </w:rPr>
        <w:t>VistaStem Canada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26, 2018,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our diverse network of strategic relationships with service providers and consultants, each of whom provides services on a real-time, as-needed basis, including human resources and payroll, information technology, facilities, legal, investor relations and website maintenance, regulatory affairs, and FDA program management.</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never had a work stoppage, and none of our employees is represented by a labor organization or under any collective bargaining agreement. We consider our employee relations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lease our office and laboratory space, which consists of approximately 10,900 square feet located in South San Francisco, California, under a lease expiring on July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does not require us to comply with any extraordinary environmental regulations.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You should consider carefully the risks and uncertainties described below, together with all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and/or operating results could be materially and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We currently have no drug products for sale and may never be able to develop and commercialize marketable drug products. Our business currently depends heavily on the successful development, regulatory approval and commercialization of AV-101 for depression, including for MDD, and, potentially, various other diseases and disorders involving the CNS, as well as, but to a more limited extent, our ability to acquire, license or produce, develop and commercialize additional product candidates.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and surveillance obligations, which would require the expenditure of substantial resources beyond the proceeds we have raised to date. Of the large number of drug candidates in development in the United States, only a small percentage will successfully complete the FDA regulatory approval process and will be commercialized. Accordingly, we cannot assure you that AV-101, or any other future product candidate will be successfully developed or commercialized.</w:t>
      </w:r>
    </w:p>
    <w:p>
      <w:pPr>
        <w:spacing w:after="0" w:line="3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United States until we receive approval of an NDA from the FDA, or in any foreign countries until we receive the requisite approval from such countries. We expect the FDA to require us to complete our ELEVATE study, our double-blind, placebo-controlled Phase 2 clinical study to evaluate the efficacy and safety of AV-101 as an adjunctive treatment of MDD in patients with an inadequate response to current FDA-approved antidepressants,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will not be known until after the studies are concluded.</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9" w:name="page20"/>
    <w:bookmarkEnd w:id="1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Obtaining FDA approval of an NDA is a complex, lengthy, expensive and uncertain process. The FDA may refuse to permit the filing of our NDA, delay, limit or deny approval of an NDA for many reasons, including, among others:</w:t>
      </w:r>
    </w:p>
    <w:p>
      <w:pPr>
        <w:spacing w:after="0" w:line="174" w:lineRule="exact"/>
        <w:rPr>
          <w:sz w:val="20"/>
          <w:szCs w:val="20"/>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FDA may require development of a REMS as a condition of approval or post-approval;</w:t>
      </w:r>
    </w:p>
    <w:p>
      <w:pPr>
        <w:spacing w:after="0" w:line="203" w:lineRule="exact"/>
        <w:rPr>
          <w:rFonts w:ascii="Times New Roman" w:cs="Times New Roman" w:eastAsia="Times New Roman" w:hAnsi="Times New Roman"/>
          <w:sz w:val="22"/>
          <w:szCs w:val="22"/>
          <w:color w:val="auto"/>
        </w:rPr>
      </w:pPr>
    </w:p>
    <w:p>
      <w:pPr>
        <w:ind w:left="6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regulatory agency may determine that there is insufficient evidence of overall effectiveness in an NDA and require additional clinical studies;</w:t>
      </w:r>
    </w:p>
    <w:p>
      <w:pPr>
        <w:spacing w:after="0" w:line="173"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commercialize AV-101 or any other product candidate we may develop. Any such setback in our pursuit of regulatory approval for any product candidate would have a material adverse effect on our business and prospects.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been granted Fast Track designation from the FDA for AV-101 for the adjunctive treatment of MDD. However, this designation may not actually lead to a faster development or regulatory review or approval process for AV-101. Further, there is no guarantee the FDA will grant Fast Track designation for AV-101 as a treatment option for other CNS indications or for other product candidates in the future.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In December 2017, the FDA granted Fast Track designation for AV-101 for the adjunctive treatment of MDD in patients with an inadequate response to current antidepressants. However, this designation may not lead to a faster development or regulatory review or approval process for AV-101 and the FDA may withdraw Fast Track designation of AV-101 if it believes that the designation is no longer supported by data from our AV-101 MDD clinical development program.</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may apply for Fast Track designation for AV-101 as a treatment option for other CNS indications, as well as for other product candidates. The FDA has broad discretion whether or not to grant a Fast Track designation, and even if we believe AV-101 and other product candidates may be eligible for this designation, we cannot be sure that the review or approval will compare to conventional FDA procedures.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Study and/or our ELEVATE Study, or any future clinical study of AV-101 fail(s) to produce positive results, the development timeline and regulatory approval and commercialization prospects for AV-101 and, correspondingly, our business and financial prospects, could be materially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other undesirable side effects or safety concerns attributable to AV-101 are identified during the NIMH Study, other investigator-sponsored clinical trials or in our clinical trials of AV-101, including our ELEVATE study, it may adversely affect or delay our clinical development and commercialization of AV-101.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AV-101, as a monotherapy in patients with treatment-resistant depression, is currently being tested by the NIMH in the NIMH Study and may be subjected to testing in the future for other CNS indications in additional investigator-sponsored clinical trials. If serious adverse events or other undesirable side effects or safety concerns, or unexpected characteristics attributable to AV-101 are observed in the NIMH Study, other investigator-sponsored clinical trials of AV-101, or in our clinical trials of AV-101, including our ELEVATE Study, it may adversely affect or delay our clinical development and commercialization of AV-101, and the occurrence of these events could have a material adverse effect on our business and financial prospects.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and nonclinical studies of AV-101 or other our product candidates could result in increased costs to us and could delay, prevent or limit our ability to generate revenue and continue our business.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our CRADA with the NIMH, the NIMH is conducting and funding the NIMH Study. We will need to complete our ELEVATE study, at least two additional large Phase 3 pivotal clinical trials, additional toxicology and other standard nonclinical studies, as well as certain standard smaller clinical studies prior to the submission of an NDA to the FDA for AV-101 as an adjunctive treatment for MDD in patients with an inadequate response to current antidepressants, or any other CNS indication. Successful completion of our nonclinical and clinical trials is a prerequisite to submitting an NDA to the FDA and, consequently, the ultimate approval required before commercial marketing of any product candidate we may develop. Except as disclosed herein, we do not know whether the NIMH Study, our ELEVATE study or any of our future-planned nonclinical and clinical trials of AV-101 or any other product candidate will be completed on schedule, if at all, as the commencement and completion of nonclinical and clinical trials can be delayed or prevented for a number of reasons, including, among others:</w:t>
      </w:r>
    </w:p>
    <w:p>
      <w:pPr>
        <w:spacing w:after="0" w:line="219" w:lineRule="exact"/>
        <w:rPr>
          <w:sz w:val="20"/>
          <w:szCs w:val="20"/>
          <w:color w:val="auto"/>
        </w:rPr>
      </w:pPr>
    </w:p>
    <w:p>
      <w:pPr>
        <w:ind w:left="660" w:right="42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deny permission to proceed with planned clinical trials or any other clinical trials we may initiate, or may place a planned or ongoing clinical trial on hold;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approvals of additional INDs that may be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nonclinical studies;</w:t>
      </w:r>
    </w:p>
    <w:p>
      <w:pPr>
        <w:spacing w:after="0" w:line="225" w:lineRule="exact"/>
        <w:rPr>
          <w:rFonts w:ascii="Times New Roman" w:cs="Times New Roman" w:eastAsia="Times New Roman" w:hAnsi="Times New Roman"/>
          <w:sz w:val="18"/>
          <w:szCs w:val="18"/>
          <w:color w:val="auto"/>
        </w:rPr>
      </w:pPr>
    </w:p>
    <w:p>
      <w:pPr>
        <w:ind w:left="660" w:right="8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73" w:lineRule="exact"/>
        <w:rPr>
          <w:rFonts w:ascii="Times New Roman" w:cs="Times New Roman" w:eastAsia="Times New Roman" w:hAnsi="Times New Roman"/>
          <w:sz w:val="18"/>
          <w:szCs w:val="18"/>
          <w:color w:val="auto"/>
        </w:rPr>
      </w:pPr>
    </w:p>
    <w:p>
      <w:pPr>
        <w:ind w:left="660" w:right="32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manufacturing of, or insufficient supply of product candidates necessary to conduct nonclinical or clinical trials, including delays in the manufacturing of sufficient supply or finished drug product;</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clinical supplies of a product candidate meeting required quality standards;</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difficulties obtaining Institutional Review Board (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approval to conduct a clinical trial at a prospective clinical site or sites;</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proximity of patients to clinical trial sites;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660" w:hanging="328"/>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adverse drug-related side effects experienced by patients in a clinical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any endpoints utilized in a clinical trial;</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or clinical testing of other CNS indications or therapies that raise safety or efficacy concerns;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Times New Roman" w:cs="Times New Roman" w:eastAsia="Times New Roman" w:hAnsi="Times New Roman"/>
          <w:sz w:val="18"/>
          <w:szCs w:val="18"/>
          <w:i w:val="1"/>
          <w:iCs w:val="1"/>
          <w:color w:val="auto"/>
        </w:rPr>
        <w:t>DSMB</w:t>
      </w:r>
      <w:r>
        <w:rPr>
          <w:rFonts w:ascii="Times New Roman" w:cs="Times New Roman" w:eastAsia="Times New Roman" w:hAnsi="Times New Roman"/>
          <w:sz w:val="18"/>
          <w:szCs w:val="18"/>
          <w:color w:val="auto"/>
        </w:rPr>
        <w:t>), overseeing the clinical trial at issue or other regulatory authorities due to a number of factors, including, among others:</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approved clinical protocols;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nonclinical carcinogenicity studies, adverse side effects or lack of effectiveness;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that may lead to regulatory 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nonclinical or clinical studies.</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regulatory requirements, FDA guidance or unanticipated events during our nonclinical studies and clinical trials of AV-101 or other product candidates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our nonclinical and clinical trials of AV-101 and any other product candidates. If these third parties do not successfully carry out their contractual duties and/or meet expected deadlines, completion of our nonclinical or clinical trials and development of AV-101 or other product candidates may be delayed and we may not be able to obtain regulatory approval for or commercialize AV-101 or other product candidates and our business could be substantially harmed.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the internal staff resources to independently conduct nonclinical and clinical trials completely on our own. We rely on our network of strategic relationships with various academic research centers, medical institutions, nonclinical and clinical investigators, contract laboratories and other third parties, such as CROs,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 and/or undertake obligations beyond their anticipated capabilities and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the NIMH or other independent investigators does not relieve us of our regulatory responsibilities. We and our CROs, the NIMH and any investigator in an investigator-sponsored study are required to comply with regulations and guidelines, including current Good Clinical Practice regulations (</w:t>
      </w:r>
      <w:r>
        <w:rPr>
          <w:rFonts w:ascii="Times New Roman" w:cs="Times New Roman" w:eastAsia="Times New Roman" w:hAnsi="Times New Roman"/>
          <w:sz w:val="16"/>
          <w:szCs w:val="16"/>
          <w:i w:val="1"/>
          <w:iCs w:val="1"/>
          <w:color w:val="auto"/>
        </w:rPr>
        <w:t>cGCPs</w:t>
      </w:r>
      <w:r>
        <w:rPr>
          <w:rFonts w:ascii="Times New Roman" w:cs="Times New Roman" w:eastAsia="Times New Roman" w:hAnsi="Times New Roman"/>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NIMH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relationships with one or more of these third-parties terminates, we may not be able to enter into arrangements with alternative collaborators. If such third-party collaborators, including our CROs and the NIMH,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218"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plan to acquire or develop, any internal infrastructure or technical capabilities to manufacture, formulate, hold or distribute supplies of our product candidates, for use in nonclinical and clinical studies or commercial scale. As a result, with respect to our product candidates, we rely, and will continue to rely, completely on third party contract manufacturing organizations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s) to manufacture active pharmaceutical ingredient (</w:t>
      </w:r>
      <w:r>
        <w:rPr>
          <w:rFonts w:ascii="Times New Roman" w:cs="Times New Roman" w:eastAsia="Times New Roman" w:hAnsi="Times New Roman"/>
          <w:sz w:val="18"/>
          <w:szCs w:val="18"/>
          <w:i w:val="1"/>
          <w:iCs w:val="1"/>
          <w:color w:val="auto"/>
        </w:rPr>
        <w:t>API</w:t>
      </w:r>
      <w:r>
        <w:rPr>
          <w:rFonts w:ascii="Times New Roman" w:cs="Times New Roman" w:eastAsia="Times New Roman" w:hAnsi="Times New Roman"/>
          <w:sz w:val="18"/>
          <w:szCs w:val="18"/>
          <w:color w:val="auto"/>
        </w:rPr>
        <w:t>) and formulate, hold and distribute final drug product. The facilities used by our CMOs to manufacture AV-101 API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manufacture of both API and finished drug product. If our CMOs cannot secure adequate supplies of suitable raw materials or successfully manufacture our product candidates, including AV-101 API and finished drug product, that conforms to our specifications and the strict regulatory requirements of the FDA or applicable foreign regulatory agencies, production of sufficient supplies of our product candidates, including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our product candidates.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AV-101, we do not yet have long-term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quantities, and, if approved, commercial scale quantities of our product candidates.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or CMO-related delays in the manufacture and formulation of AV-101 API and/or finished drug product will not occur in the future.</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yet selected any markets outside of the United States where we intend to seek regulatory approval to market AV-101 or any other product candidate. In order to market AV-101 or any other product candidate outside of the United States,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we can commercialize our product candidates, the United States Drug Enforcement Administration (</w:t>
      </w:r>
      <w:r>
        <w:rPr>
          <w:rFonts w:ascii="Times New Roman" w:cs="Times New Roman" w:eastAsia="Times New Roman" w:hAnsi="Times New Roman"/>
          <w:sz w:val="18"/>
          <w:szCs w:val="18"/>
          <w:i w:val="1"/>
          <w:iCs w:val="1"/>
          <w:color w:val="auto"/>
        </w:rPr>
        <w:t>DEA</w:t>
      </w:r>
      <w:r>
        <w:rPr>
          <w:rFonts w:ascii="Times New Roman" w:cs="Times New Roman" w:eastAsia="Times New Roman" w:hAnsi="Times New Roman"/>
          <w:sz w:val="18"/>
          <w:szCs w:val="18"/>
          <w:color w:val="auto"/>
        </w:rPr>
        <w:t>) may need to determine whether such product candidates will be considered to be a controlled substance,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will consider any of our product candidates, including AV-101, to be controlled substances, we cannot yet give any assurance that certain of our product candidates, including AV-101, will not be regulated as controlled substances.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CMOs would be subject to initial and periodic DEA inspection. If we or our CMOs are not able to obtain or maintain any necessary DEA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currently have any internal resources for the sale, marketing and distribution of pharmaceutical products, nor do we intend to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6" w:lineRule="exact"/>
        <w:rPr>
          <w:sz w:val="20"/>
          <w:szCs w:val="20"/>
          <w:color w:val="auto"/>
        </w:rPr>
      </w:pPr>
    </w:p>
    <w:p>
      <w:pPr>
        <w:ind w:left="660" w:hanging="328"/>
        <w:spacing w:after="0" w:line="339"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2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 or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current treatment options or alternative treatments, including future alternative treatments;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product candidates through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5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9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product candidates, we may still face future development and regulatory difficulties.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that we initiate a product recall.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Competing therapies could emerge adversely affecting our opportunity to generate revenue from the sale of our product candidates.</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8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Currently, management is unaware of any FDA-approved oral adjunctive therapy for MDD patients with an inadequate response to standard antidepressants having the same mechanism of action and safety profile as our orally administered AV-101. However, new antidepressant products with other mechanisms of action or products approved for other indications, including the FDA-approved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Times New Roman" w:cs="Times New Roman" w:eastAsia="Times New Roman" w:hAnsi="Times New Roman"/>
          <w:sz w:val="16"/>
          <w:szCs w:val="16"/>
          <w:i w:val="1"/>
          <w:iCs w:val="1"/>
          <w:color w:val="auto"/>
        </w:rPr>
        <w:t>ECT</w:t>
      </w:r>
      <w:r>
        <w:rPr>
          <w:rFonts w:ascii="Times New Roman" w:cs="Times New Roman" w:eastAsia="Times New Roman" w:hAnsi="Times New Roman"/>
          <w:sz w:val="16"/>
          <w:szCs w:val="16"/>
          <w:color w:val="auto"/>
        </w:rPr>
        <w:t>) are used before or instead of standard antidepressant medications to treat patients with MDD.</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field of new generation, oral adjunctive treatments for adult patients with MDD with an inadequate response to standard FDA-approved antidepressants, we believe our principal competitor may be Alkermes’ oral opioid modulator, ALKS-5461, which adjunctive treatment product candidate is the subject of an NDA recently submitted to the FDA by Alkermes.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levodopa-induced dyskinesia, neuropathic pain, epilepsy, and other neurological conditions and diseases, including, but not limited to, Abbott Laboratories, Acadia, Allergan, Alkermes, AstraZeneca,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with commercial and therapeutic potential. Although AV-101 is in Phase 2 clinical development for treatment of MDD,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8" w:name="page29"/>
    <w:bookmarkEnd w:id="2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93" w:lineRule="exact"/>
        <w:rPr>
          <w:sz w:val="20"/>
          <w:szCs w:val="20"/>
          <w:color w:val="auto"/>
        </w:rPr>
      </w:pPr>
    </w:p>
    <w:p>
      <w:pPr>
        <w:jc w:val="both"/>
        <w:ind w:left="660" w:hanging="328"/>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0"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0"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our product candidates.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in the future, choose to seek FDA Orphan Drug designation for one or more of our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9"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2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 party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9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required regulatory approvals for commercialization of AV-101 and other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sales, distribution and marketing capabilities, and/or enter into strategic partnering arrangements to access such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product candidates;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upon our ability to successfully develop and commercialize AV-101, acquire or license additional product candidates, or discover, as well as produce, develop and commercialize proprietary drug rescue NCEs using our stem cell technology, and we cannot provide any assurance that we will successfully develop and commercialize AV-101, acquire or license additional product candidates or discover and develop drug rescue NCEs, or that, if produced, AV-101 or any other product candidate will be successfully commercialized.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development and research and development programs designed to identify, acquire or license additional product candidates, or, as the case may be, produce drug rescue NCEs require substantial technical, financial and human resources, whether or not any additional product candidate is acquired or licensed or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9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rescue research and development methodology may not be successful in identifying and developing potential drug rescue 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drug rescue NCEs obsolete;</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rescue NCE may not be capable of being produced in commercial quantities at an acceptable cost, or at all;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rescue NCE may not be accepted as safe and effective by regulatory authorities, patients, the medical community or third-party payors.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acquired and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drug rescue NCEs and no operating history with respect to the production of drug rescue NCEs, and we may never be able to produce a drug rescue NCE.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we are unable to develop and commercialize AV-101, acquire or license additional product candidates,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With respect to drug rescue, there are a number of factors, in addition to the utility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that may impact our ability to identify and produce, develop or out-license and commercialize drug rescue NCEs, independently or with partners, including:</w:t>
      </w:r>
    </w:p>
    <w:p>
      <w:pPr>
        <w:spacing w:after="0" w:line="172" w:lineRule="exact"/>
        <w:rPr>
          <w:sz w:val="20"/>
          <w:szCs w:val="20"/>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drug rescue candidates in the public domain, obtain sufficient quantities of them, and assess them using our bioassay systems;</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3"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medicinal chemistry collaborator’s ability to design and produce proprietary drug rescue NCEs based on the novel biology and structure-function insight we provide using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and</w:t>
      </w:r>
    </w:p>
    <w:p>
      <w:pPr>
        <w:spacing w:after="0" w:line="173"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resources available to us to develop and commercialize lead drug rescue NCEs internally, or, if we sell or out-license them to partners, the resources such partners choose to dedicate to development and commercialization of any drug rescue NCEs they acquire or license from us.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Even if we do acquire additional product candidates or produce proprietary drug rescue NCEs, we can give no assurance that we will be able to develop and commercialize them as marketable drugs, on our own or in collaboration with others. Before we generate any revenues from AV-101, additional acquired or licensed products candidates or any drug rescue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Success of our subsidiary, VistaStem, is partly dependent on our ability to use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to identify and predict, accurately and efficiently, the potential toxic and nontoxic cardiac effects of drug rescue candidates and drug rescue NCEs.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CardioSafe </w:t>
      </w:r>
      <w:r>
        <w:rPr>
          <w:rFonts w:ascii="Times New Roman" w:cs="Times New Roman" w:eastAsia="Times New Roman" w:hAnsi="Times New Roman"/>
          <w:sz w:val="18"/>
          <w:szCs w:val="18"/>
          <w:b w:val="1"/>
          <w:bCs w:val="1"/>
          <w:color w:val="auto"/>
        </w:rPr>
        <w:t>3D</w:t>
      </w:r>
      <w:r>
        <w:rPr>
          <w:rFonts w:ascii="Times New Roman" w:cs="Times New Roman" w:eastAsia="Times New Roman" w:hAnsi="Times New Roman"/>
          <w:sz w:val="18"/>
          <w:szCs w:val="18"/>
          <w:b w:val="1"/>
          <w:bCs w:val="1"/>
          <w:i w:val="1"/>
          <w:iCs w:val="1"/>
          <w:color w:val="auto"/>
        </w:rPr>
        <w:t xml:space="preserve"> may not be meaningfully more predictive of the behavior of human cells than existing methods.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success of our drug rescue programs is highly dependent upon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will be more efficient or accurate at predicting the heart safety of new drug candidates than the testing models currently used. If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producing drug rescue NCEs for which there proves to be no demand.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Some of our research and development programs may involve the use of human cells derived from our controlled differentiation of human embryonic stem cells (</w:t>
      </w:r>
      <w:r>
        <w:rPr>
          <w:rFonts w:ascii="Times New Roman" w:cs="Times New Roman" w:eastAsia="Times New Roman" w:hAnsi="Times New Roman"/>
          <w:sz w:val="16"/>
          <w:szCs w:val="16"/>
          <w:i w:val="1"/>
          <w:iCs w:val="1"/>
          <w:color w:val="auto"/>
        </w:rPr>
        <w:t>hESC</w:t>
      </w:r>
      <w:r>
        <w:rPr>
          <w:rFonts w:ascii="Times New Roman" w:cs="Times New Roman" w:eastAsia="Times New Roman" w:hAnsi="Times New Roman"/>
          <w:sz w:val="16"/>
          <w:szCs w:val="16"/>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fertilization (</w:t>
      </w:r>
      <w:r>
        <w:rPr>
          <w:rFonts w:ascii="Times New Roman" w:cs="Times New Roman" w:eastAsia="Times New Roman" w:hAnsi="Times New Roman"/>
          <w:sz w:val="16"/>
          <w:szCs w:val="16"/>
          <w:i w:val="1"/>
          <w:iCs w:val="1"/>
          <w:color w:val="auto"/>
        </w:rPr>
        <w:t>IVF</w:t>
      </w:r>
      <w:r>
        <w:rPr>
          <w:rFonts w:ascii="Times New Roman" w:cs="Times New Roman" w:eastAsia="Times New Roman" w:hAnsi="Times New Roman"/>
          <w:sz w:val="16"/>
          <w:szCs w:val="16"/>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foregoing potential ethical concerns do not apply to our use of induced pluripotent stem cells </w:t>
      </w:r>
      <w:r>
        <w:rPr>
          <w:rFonts w:ascii="Times New Roman" w:cs="Times New Roman" w:eastAsia="Times New Roman" w:hAnsi="Times New Roman"/>
          <w:sz w:val="18"/>
          <w:szCs w:val="18"/>
          <w:i w:val="1"/>
          <w:iCs w:val="1"/>
          <w:color w:val="auto"/>
        </w:rPr>
        <w:t>(iPSC</w:t>
      </w:r>
      <w:r>
        <w:rPr>
          <w:rFonts w:ascii="Times New Roman" w:cs="Times New Roman" w:eastAsia="Times New Roman" w:hAnsi="Times New Roman"/>
          <w:sz w:val="18"/>
          <w:szCs w:val="18"/>
          <w:color w:val="auto"/>
        </w:rPr>
        <w:t>s) because their derivation does not involve the use of embryonic tissues.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may use both hESCs and iPSCs to produce human cells for our customized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social and ethical concerns surrounding the use of iPSCs, biological materials and genetic information could impair our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9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human cells we produce from hPSCs and our customized bioassay systems using such cells, including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223"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net losses in each fiscal year since our inception in 1998, including net losses of $14.3 million and $10.3 million during the fiscal years ended March 31, 2018 and 2017, respectively. As of March 31, 2018, we had an accumulated deficit of approximately $156.5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however not including the fair market value of the NIMH Study sponsored and conducted by the NIMH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another product candidate,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9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nonclinical and clinical trials that meet their prescribed endpoints;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complete and compose successful regulatory submissions such as NDAs or comparable documents for both U.S. and foreign jurisdictions;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approved, by developing a sales force or entering into collaborations with third parties for sales and marketing capabilities;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require additional financing to execute our business plan and continue to operate as a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audited consolidated financial statements for the year ended March 31, 2018 included elsewhere in this Annual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most of our resources have been dedicated to research and development of AV-101 and the drug rescue capabilities of our stem cell technology platform. In particular, we have expended substantial resources on research and development of methods and processes relating to the production of AV-101 API, advancing AV-101 through IND-enabling preclinical development, Phase 1 clinical safety studies, and into ongoing Phase 2 clinical development, including preparation for and recent launch of our ELEVATE study, as well as research and development of our stem cell technology platform, including development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for drug rescue and our cardiac stem cell technology for potential regenerative medicine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2018, we had a cash and cash equivalents balance of approximately $10.4 million. We do not believe this amount is sufficient to enable us to fund our planned operations for at least the twelve months following the issuance of the financial statements included in this Annual Report. We expect to seek additional capital to finalize the results from our ELEVATE study, produce additional AV-101 study material, conduct Phase 3-enabling studies, conduct Phase 3 studies in MDD, conduct AV-101 Phase 2 studies in CNS indications other than MDD, acquire or license and conduct research and development of additional product candidates and to fund our internal operations in 2019 and beyond.</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2018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product candidates we pursue;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and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and any products we successfully commercialize;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collaborative arrangements and the financial terms of such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 funding for our research and development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and enforcing patents to preserve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defending against such claims that we infringe third-party patents or violate other intellectual property rights and the outcome of such litigation;</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potential future licensee fees, milestone payments, and sales of, or royalties on, our future products,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47"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Times New Roman" w:cs="Times New Roman" w:eastAsia="Times New Roman" w:hAnsi="Times New Roman"/>
          <w:sz w:val="16"/>
          <w:szCs w:val="16"/>
          <w:b w:val="1"/>
          <w:bCs w:val="1"/>
          <w:color w:val="auto"/>
        </w:rPr>
        <w:t>.</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6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intend to pursue private and public equity offerings, debt financings, strategic collaborations and licensing arrangements during 2018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programs have been partially supported by government grant awards, which may not be available to us in the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we have received substantial funds under grant award programs funded by state and federal governmental agencies, such as the NIH, the NIH’s National Institute of Neurological Disease and Stroke (</w:t>
      </w:r>
      <w:r>
        <w:rPr>
          <w:rFonts w:ascii="Times New Roman" w:cs="Times New Roman" w:eastAsia="Times New Roman" w:hAnsi="Times New Roman"/>
          <w:sz w:val="18"/>
          <w:szCs w:val="18"/>
          <w:i w:val="1"/>
          <w:iCs w:val="1"/>
          <w:color w:val="auto"/>
        </w:rPr>
        <w:t>NINDS</w:t>
      </w:r>
      <w:r>
        <w:rPr>
          <w:rFonts w:ascii="Times New Roman" w:cs="Times New Roman" w:eastAsia="Times New Roman" w:hAnsi="Times New Roman"/>
          <w:sz w:val="18"/>
          <w:szCs w:val="18"/>
          <w:color w:val="auto"/>
        </w:rPr>
        <w:t>) and the NIMH, and the California Institute for Regenerative Medicine (</w:t>
      </w:r>
      <w:r>
        <w:rPr>
          <w:rFonts w:ascii="Times New Roman" w:cs="Times New Roman" w:eastAsia="Times New Roman" w:hAnsi="Times New Roman"/>
          <w:sz w:val="18"/>
          <w:szCs w:val="18"/>
          <w:i w:val="1"/>
          <w:iCs w:val="1"/>
          <w:color w:val="auto"/>
        </w:rPr>
        <w:t>CIRM</w:t>
      </w:r>
      <w:r>
        <w:rPr>
          <w:rFonts w:ascii="Times New Roman" w:cs="Times New Roman" w:eastAsia="Times New Roman" w:hAnsi="Times New Roman"/>
          <w:sz w:val="18"/>
          <w:szCs w:val="18"/>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is subject to certain limitations.</w:t>
      </w:r>
    </w:p>
    <w:p>
      <w:pPr>
        <w:spacing w:after="0" w:line="22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As of March 31, 2018, we had federal and state net operating loss carryforwards of approximately $88.5 million and $63.5 million, respectively, which begin to expire in fiscal 2019. Under Section 382 of the Internal Revenue Code of 1986, as amended (the </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2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could result in a material disruption of our product candidates’ development programs or otherwise materially harm our operations.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 candidates, or form strategic alliances, in the future, and we may not realize the benefits of such acquisitions.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products and compositions, their methods of use and any other inventions we consider important to the development of our business. We also rely on trade secrets to protect aspects of our business that are not amenable to, or that we do not consider appropriate for, patent protection.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AV-101 and human pluripotent stem cell technology.</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issued patents relating to AV-101 in the U.S. and the European Union, we cannot yet provide any assurances that any of our other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 </w:t>
      </w:r>
      <w:r>
        <w:rPr>
          <w:rFonts w:ascii="Times New Roman" w:cs="Times New Roman" w:eastAsia="Times New Roman" w:hAnsi="Times New Roman"/>
          <w:sz w:val="18"/>
          <w:szCs w:val="18"/>
          <w:color w:val="auto"/>
        </w:rPr>
        <w:t>reexamination, or</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line="27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issued patents related to AV-101 or pending patent applications, if issued, will include claims having a scope sufficient to protect AV-101 or any other products or product candidates, particularly considering that the compound patent to AV-101 has expired;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U.S. Patent 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European Patent Office (</w:t>
      </w:r>
      <w:r>
        <w:rPr>
          <w:rFonts w:ascii="Times New Roman" w:cs="Times New Roman" w:eastAsia="Times New Roman" w:hAnsi="Times New Roman"/>
          <w:sz w:val="18"/>
          <w:szCs w:val="18"/>
          <w:i w:val="1"/>
          <w:iCs w:val="1"/>
          <w:color w:val="auto"/>
        </w:rPr>
        <w:t>EPO</w:t>
      </w:r>
      <w:r>
        <w:rPr>
          <w:rFonts w:ascii="Times New Roman" w:cs="Times New Roman" w:eastAsia="Times New Roman" w:hAnsi="Times New Roman"/>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9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of our product candidates, including patents related to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6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6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5" w:name="page46"/>
    <w:bookmarkEnd w:id="4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9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cs="Times New Roman" w:eastAsia="Times New Roman" w:hAnsi="Times New Roman"/>
          <w:sz w:val="18"/>
          <w:szCs w:val="18"/>
          <w:i w:val="1"/>
          <w:iCs w:val="1"/>
          <w:color w:val="auto"/>
        </w:rPr>
        <w:t>Bayh-Dole Act</w:t>
      </w:r>
      <w:r>
        <w:rPr>
          <w:rFonts w:ascii="Times New Roman" w:cs="Times New Roman" w:eastAsia="Times New Roman" w:hAnsi="Times New Roman"/>
          <w:sz w:val="18"/>
          <w:szCs w:val="18"/>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6" w:name="page47"/>
    <w:bookmarkEnd w:id="4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cs="Times New Roman" w:eastAsia="Times New Roman" w:hAnsi="Times New Roman"/>
          <w:sz w:val="18"/>
          <w:szCs w:val="18"/>
          <w:i w:val="1"/>
          <w:iCs w:val="1"/>
          <w:color w:val="auto"/>
        </w:rPr>
        <w:t>Mayo Collaborative Services, DBA Mayo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Medical Laboratories, et al. v. Prometheus Laboratories, Inc.</w:t>
      </w:r>
      <w:r>
        <w:rPr>
          <w:rFonts w:ascii="Times New Roman" w:cs="Times New Roman" w:eastAsia="Times New Roman" w:hAnsi="Times New Roman"/>
          <w:sz w:val="18"/>
          <w:szCs w:val="18"/>
          <w:color w:val="auto"/>
        </w:rPr>
        <w:t>, the Court held that several claims drawn to measuring drug metabolite levels from patient samples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the Court held that claims to isolated genomic DNA are not patentable, but claims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cs="Times New Roman" w:eastAsia="Times New Roman" w:hAnsi="Times New Roman"/>
          <w:sz w:val="18"/>
          <w:szCs w:val="18"/>
          <w:i w:val="1"/>
          <w:iCs w:val="1"/>
          <w:color w:val="auto"/>
        </w:rPr>
        <w:t>Ariosa Diagnostics, Inc. v. Sequenom, Inc</w:t>
      </w:r>
      <w:r>
        <w:rPr>
          <w:rFonts w:ascii="Times New Roman" w:cs="Times New Roman" w:eastAsia="Times New Roman" w:hAnsi="Times New Roman"/>
          <w:sz w:val="18"/>
          <w:szCs w:val="18"/>
          <w:color w:val="auto"/>
        </w:rPr>
        <w:t>., the Court of Appeals for the Federal Circuit held that methods for detecting fetal genetic defects were not patent eligible subject matter.</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7" w:name="page48"/>
    <w:bookmarkEnd w:id="4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0" w:lineRule="exact"/>
        <w:rPr>
          <w:sz w:val="20"/>
          <w:szCs w:val="20"/>
          <w:color w:val="auto"/>
        </w:rPr>
      </w:pPr>
    </w:p>
    <w:p>
      <w:pPr>
        <w:ind w:left="660" w:right="20" w:hanging="328"/>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25"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as a result of legal challenges by our competitors;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7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to approve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CNS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may cause our stock price to decline.</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institutional stockholders could limit your ability to influence the outcome of key transactions, including changes in control.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49" w:name="page50"/>
    <w:bookmarkEnd w:id="4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additional issuances of shares of preferred stock in the future.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Restated Articles of Incorporation (the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permit us to issue up to 10.0 million shares of preferred stock. Our Board has authorized the issuance of (i) 500,000 shares of Series A Preferred, all of which shares are issued and outstanding at March 31, 2018; (ii) 4.0 million shares of Series B 10% Convertible Preferred stock, of which approximately 1.2 million shares remain issued and outstanding at March 31, 2018; and (iii) 3.0 million shares of Series C Convertible Preferred Stock, of which approximately 2.3 million shares are issued and outstanding at March 31, 2018.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in this section are not required since we qualify as a smaller reporting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corporate headquarters and laboratories are located at 343 Allerton Avenue, South San Francisco, California 94080, where we occupy approximately 10,900 square feet of office and lab space under a lease expiring on July 31, 2022. We believe that our facilities are suitable and adequate for our current and foreseeable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common stock was approved for listing and has traded since May 11, 2016 on The NASDAQ Capital Market under the symbol “VTGN”. From June 21, 2011 through May 10, 2016, our common stock traded on the OTC Marketplace (</w:t>
      </w:r>
      <w:r>
        <w:rPr>
          <w:rFonts w:ascii="Times New Roman" w:cs="Times New Roman" w:eastAsia="Times New Roman" w:hAnsi="Times New Roman"/>
          <w:sz w:val="18"/>
          <w:szCs w:val="18"/>
          <w:i w:val="1"/>
          <w:iCs w:val="1"/>
          <w:color w:val="auto"/>
        </w:rPr>
        <w:t>OTCQB</w:t>
      </w:r>
      <w:r>
        <w:rPr>
          <w:rFonts w:ascii="Times New Roman" w:cs="Times New Roman" w:eastAsia="Times New Roman" w:hAnsi="Times New Roman"/>
          <w:sz w:val="18"/>
          <w:szCs w:val="18"/>
          <w:color w:val="auto"/>
        </w:rPr>
        <w:t>), under the symbol “VSTA”. There was no established trading market for our common stock prior to June 21, 2011.</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Shown below is the range of high and low sales prices for our common stock for the periods indicated as reported by the NASDAQ Capital Market or the OTCQB. The market quotations reflect inter-dealer prices, without retail mark-up, mark-down or commissions and may not necessarily represent actual transactions.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High</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Low</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March 31, 2018</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ended September 30, 2017</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ended December 31, 2017</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ended March 31, 2018</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March 31, 2017</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ending June 30, 2016</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ended September 30, 2016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ended December 31, 2016</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ended March 31, 2017</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26, 2018 the closing price of our common stock on the NASDAQ Capital Market was $1.345 per share.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26, 2018, we had 23,037,615 shares of common stock outstanding and approximately 4,500 stockholders of record. On the same date, two stockholders held all 500,000 outstanding restricted shares of our Series A Preferred Stock, which shares are convertible into 750,000 shares of common stock; two stockholders held 1,160,240 outstanding shares of our Series B 10% Convertible Preferred Stock, which shares are convertible into 1,160,240 shares of common stock; and one stockholder held all 2,318,012 outstanding shares of our Series C Preferred stock, which shares are convertible into 2,318,012 shares of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have issued the following securities in private placement transactions which were not registered under the Securities Act of 1933, as amended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that have not been previously reported in a Quarterly Report on Form 10-Q or a Current Report on Form 8-K.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Issued for Professional Services</w:t>
      </w:r>
    </w:p>
    <w:p>
      <w:pPr>
        <w:spacing w:after="0" w:line="22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Between March 2018 and May 2018, we granted an aggregate of 130,000 unregistered shares of our common stock to two accredited investors and an investment banking firm as full or partial compensation for financial advisory and investor relations services. The shares of common stock were issued in private placement transactions exempt from registration under the Securities Act, in reliance on Section 4(2) thereof and Rule 506 of Regulation D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 Selected Financial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(Annual Report) includes forward-looking statements. All statements contained in this Annual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new generation medicines for depression and other diseases and disorders of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with high unmet need.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CNS product candidate, AV-101, is an oral, non-opioid and non-sedating therapy that we believe offers the potential to be a new at-home treatment for multiple CNS indications with high unmet medical need. These indications include potential use as a new generation treatment alternative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as a non-addictive, non-sedating option for management of chronic neuropathic pain (</w:t>
      </w:r>
      <w:r>
        <w:rPr>
          <w:rFonts w:ascii="Times New Roman" w:cs="Times New Roman" w:eastAsia="Times New Roman" w:hAnsi="Times New Roman"/>
          <w:sz w:val="18"/>
          <w:szCs w:val="18"/>
          <w:i w:val="1"/>
          <w:iCs w:val="1"/>
          <w:color w:val="auto"/>
        </w:rPr>
        <w:t>CNP</w:t>
      </w:r>
      <w:r>
        <w:rPr>
          <w:rFonts w:ascii="Times New Roman" w:cs="Times New Roman" w:eastAsia="Times New Roman" w:hAnsi="Times New Roman"/>
          <w:sz w:val="18"/>
          <w:szCs w:val="18"/>
          <w:color w:val="auto"/>
        </w:rPr>
        <w:t>), to reduce dyskinesia induced by levodopa therapy for Parkinson’s disease (</w:t>
      </w:r>
      <w:r>
        <w:rPr>
          <w:rFonts w:ascii="Times New Roman" w:cs="Times New Roman" w:eastAsia="Times New Roman" w:hAnsi="Times New Roman"/>
          <w:sz w:val="18"/>
          <w:szCs w:val="18"/>
          <w:i w:val="1"/>
          <w:iCs w:val="1"/>
          <w:color w:val="auto"/>
        </w:rPr>
        <w:t>PD LID</w:t>
      </w:r>
      <w:r>
        <w:rPr>
          <w:rFonts w:ascii="Times New Roman" w:cs="Times New Roman" w:eastAsia="Times New Roman" w:hAnsi="Times New Roman"/>
          <w:sz w:val="18"/>
          <w:szCs w:val="18"/>
          <w:color w:val="auto"/>
        </w:rPr>
        <w:t>), and additional CNS indications where modulation of NMDA (N-methyl-D-aspartate) receptor and AMPA (alpha-amino-3-hydroxy-5-methyl-4-isoxazolepropionic acid) receptor pathways may achieve therapeutic benefit.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MDD, we believe AV-101 has potential as a first line oral monotherapy and as an adjunctive oral therapy. As an adjunctive therapy, we believe AV-101 has potential both to displace atypical antipsychotics such as aripiprazole in the current MDD drug treatment paradigm both for patients with an inadequate response to current antidepressants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to prevent relapse of MDD following successful treatment with the FDA-approved anesthetic, ketamine hydrochloride, an ion-channel blocking NDMA receptor antagonist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whether administered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injection or as an intranasal spray formulation. We believe AV-101 may have potential to deliver ketamine-like antidepressant effects on an at-home basis, without the requirement for inconvenient administration in a medical setting, and without causing psychological or other side effects and safety concerns associated with ketamine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AV-101 is in Phase 2 development in the United States. In the fourth quarter of 2017, we received authorization from the FDA to initiate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Times New Roman" w:cs="Times New Roman" w:eastAsia="Times New Roman" w:hAnsi="Times New Roman"/>
          <w:sz w:val="18"/>
          <w:szCs w:val="18"/>
          <w:i w:val="1"/>
          <w:iCs w:val="1"/>
          <w:color w:val="auto"/>
        </w:rPr>
        <w:t>ELEVATE Study</w:t>
      </w:r>
      <w:r>
        <w:rPr>
          <w:rFonts w:ascii="Times New Roman" w:cs="Times New Roman" w:eastAsia="Times New Roman" w:hAnsi="Times New Roman"/>
          <w:sz w:val="18"/>
          <w:szCs w:val="18"/>
          <w:color w:val="auto"/>
        </w:rPr>
        <w:t>). As planned, we initiated the ELEVATE Study in the first quarter of 2018. Dr. Maurizio Fava, Professor of Psychiatry at Harvard Medical School and Director, Division of Clinical Research,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We currently anticipate top line results from the ELEVATE Study in the first half of 2019.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AV-101 is also in the subject of a small Phase 2 clinical study being conducted and funded by the U.S. National Institute of Mental Health (the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NIMH (the </w:t>
      </w:r>
      <w:r>
        <w:rPr>
          <w:rFonts w:ascii="Times New Roman" w:cs="Times New Roman" w:eastAsia="Times New Roman" w:hAnsi="Times New Roman"/>
          <w:sz w:val="18"/>
          <w:szCs w:val="18"/>
          <w:i w:val="1"/>
          <w:iCs w:val="1"/>
          <w:color w:val="auto"/>
        </w:rPr>
        <w:t>NIMH Study</w:t>
      </w:r>
      <w:r>
        <w:rPr>
          <w:rFonts w:ascii="Times New Roman" w:cs="Times New Roman" w:eastAsia="Times New Roman" w:hAnsi="Times New Roman"/>
          <w:sz w:val="18"/>
          <w:szCs w:val="18"/>
          <w:color w:val="auto"/>
        </w:rPr>
        <w:t>). Dr. Carlos Zarate, Jr., Chief of the NIMH’s Experimental Therapeutics &amp; Pathophysiology Branch and its Section on Neurobiology and Treatment of Mood and Anxiety Disorders, is acting as the Principal Investigator for the NIMH Study, which is focused on AV-101 monotherapy for subjects with treatment-resistant MDD and certain biomarkers. Dr. Zarate and the NIMH were among the first in the U.S. to conduct clinical studies demonstrating the robust, fast-acting antidepressant effects of ketamine in MDD patients with inadequate responses to multiple current FDA-approved antidepressants.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CNS business, we have two additional programs through our wholly-owned subsidiary VistaStem Therapeutics (</w:t>
      </w:r>
      <w:r>
        <w:rPr>
          <w:rFonts w:ascii="Times New Roman" w:cs="Times New Roman" w:eastAsia="Times New Roman" w:hAnsi="Times New Roman"/>
          <w:sz w:val="18"/>
          <w:szCs w:val="18"/>
          <w:i w:val="1"/>
          <w:iCs w:val="1"/>
          <w:color w:val="auto"/>
        </w:rPr>
        <w:t>VistaStem</w:t>
      </w:r>
      <w:r>
        <w:rPr>
          <w:rFonts w:ascii="Times New Roman" w:cs="Times New Roman" w:eastAsia="Times New Roman" w:hAnsi="Times New Roman"/>
          <w:sz w:val="18"/>
          <w:szCs w:val="18"/>
          <w:color w:val="auto"/>
        </w:rPr>
        <w:t>). VistaStem is focused on applying human pluripotent stem cell (</w:t>
      </w:r>
      <w:r>
        <w:rPr>
          <w:rFonts w:ascii="Times New Roman" w:cs="Times New Roman" w:eastAsia="Times New Roman" w:hAnsi="Times New Roman"/>
          <w:sz w:val="18"/>
          <w:szCs w:val="18"/>
          <w:i w:val="1"/>
          <w:iCs w:val="1"/>
          <w:color w:val="auto"/>
        </w:rPr>
        <w:t>hPSC</w:t>
      </w:r>
      <w:r>
        <w:rPr>
          <w:rFonts w:ascii="Times New Roman" w:cs="Times New Roman" w:eastAsia="Times New Roman" w:hAnsi="Times New Roman"/>
          <w:sz w:val="18"/>
          <w:szCs w:val="18"/>
          <w:color w:val="auto"/>
        </w:rPr>
        <w:t>) technology to rescue, develop and commercialize (i) 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CNS and other diseases and (ii)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xml:space="preserve">) involving hPSC-derived blood, cartilage, heart and liver cells. Our internal drug rescue programs are designed to utilize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our customized cardiac bioassay system, to develop small molecule NCEs for our pipeline or out-licensing. To advance potential RM applications of VistaStem’s cardiac stem cell technology, we have exclusively sublicensed to BlueRock Therapeutics LP, a next generation cell therapy and RM company established in 2016 with $225 million of committed capital from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8"/>
          <w:szCs w:val="18"/>
          <w:i w:val="1"/>
          <w:iCs w:val="1"/>
          <w:color w:val="auto"/>
        </w:rPr>
        <w:t>BlueRock Agreement</w:t>
      </w:r>
      <w:r>
        <w:rPr>
          <w:rFonts w:ascii="Times New Roman" w:cs="Times New Roman" w:eastAsia="Times New Roman" w:hAnsi="Times New Roman"/>
          <w:sz w:val="18"/>
          <w:szCs w:val="18"/>
          <w:color w:val="auto"/>
        </w:rPr>
        <w:t>). In a manner similar to the BlueRock Agreement, we may pursue additional VistaStem collaborations or licensing transactions involving blood, cartilage, and/or liver cells derived from hPSCs for cell-based therapy, cell repair therapy, RM and/or tissue engineering.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historically generated revenue principally from collaborative research and development arrangements, licensing and technology access fees and government grants. Through March 31, 2018, we have recognized revenue under the provisions of the SEC issued Staff Accounting Bulletin 104, Topic 13, </w:t>
      </w:r>
      <w:r>
        <w:rPr>
          <w:rFonts w:ascii="Times New Roman" w:cs="Times New Roman" w:eastAsia="Times New Roman" w:hAnsi="Times New Roman"/>
          <w:sz w:val="18"/>
          <w:szCs w:val="18"/>
          <w:i w:val="1"/>
          <w:iCs w:val="1"/>
          <w:color w:val="auto"/>
        </w:rPr>
        <w:t xml:space="preserve">Revenue Recognition Revised and Updated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SAB 104</w:t>
      </w:r>
      <w:r>
        <w:rPr>
          <w:rFonts w:ascii="Times New Roman" w:cs="Times New Roman" w:eastAsia="Times New Roman" w:hAnsi="Times New Roman"/>
          <w:sz w:val="18"/>
          <w:szCs w:val="18"/>
          <w:color w:val="auto"/>
        </w:rPr>
        <w:t>) and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605-25,</w:t>
      </w:r>
      <w:r>
        <w:rPr>
          <w:rFonts w:ascii="Times New Roman" w:cs="Times New Roman" w:eastAsia="Times New Roman" w:hAnsi="Times New Roman"/>
          <w:sz w:val="18"/>
          <w:szCs w:val="18"/>
          <w:i w:val="1"/>
          <w:iCs w:val="1"/>
          <w:color w:val="auto"/>
        </w:rPr>
        <w:t xml:space="preserve"> Revenue Arrangements-Multiple Element Arrangements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605-25</w:t>
      </w:r>
      <w:r>
        <w:rPr>
          <w:rFonts w:ascii="Times New Roman" w:cs="Times New Roman" w:eastAsia="Times New Roman" w:hAnsi="Times New Roman"/>
          <w:sz w:val="18"/>
          <w:szCs w:val="18"/>
          <w:color w:val="auto"/>
        </w:rPr>
        <w:t>). Revenue for arrangements not having multiple deliverables, as outlined in ASC 605-25, is recognized once costs are incurred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collectability is reasonably assured.</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 arrangements with multiple components are divided into separate units of accounting if certain criteria are met, including whether the delivered component has stand-alone value to the customer or counterparty. Consideration received is allocated among the separate units of accounting based on their respective selling prices. The selling price for each unit is based on vendor-specific objective evidence, or </w:t>
      </w:r>
      <w:r>
        <w:rPr>
          <w:rFonts w:ascii="Times New Roman" w:cs="Times New Roman" w:eastAsia="Times New Roman" w:hAnsi="Times New Roman"/>
          <w:sz w:val="18"/>
          <w:szCs w:val="18"/>
          <w:i w:val="1"/>
          <w:iCs w:val="1"/>
          <w:color w:val="auto"/>
        </w:rPr>
        <w:t>VSOE</w:t>
      </w:r>
      <w:r>
        <w:rPr>
          <w:rFonts w:ascii="Times New Roman" w:cs="Times New Roman" w:eastAsia="Times New Roman" w:hAnsi="Times New Roman"/>
          <w:sz w:val="18"/>
          <w:szCs w:val="18"/>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86" w:lineRule="exact"/>
        <w:rPr>
          <w:sz w:val="20"/>
          <w:szCs w:val="20"/>
          <w:color w:val="auto"/>
        </w:rPr>
      </w:pPr>
    </w:p>
    <w:p>
      <w:pPr>
        <w:jc w:val="both"/>
        <w:ind w:left="660" w:hanging="328"/>
        <w:spacing w:after="0" w:line="288"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Collaborative arrangements typically consist of non-refundable and/or exclusive technology access fees, cost reimbursements for specific research and development spending, and various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389" w:lineRule="exact"/>
        <w:rPr>
          <w:rFonts w:ascii="Times New Roman" w:cs="Times New Roman" w:eastAsia="Times New Roman" w:hAnsi="Times New Roman"/>
          <w:sz w:val="16"/>
          <w:szCs w:val="16"/>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90"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described more completely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accompanying Consolidated Financial Statements contained in Item 8 of this Annual Report, the Financial Accounting Standards Board (the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has issued new guidance regarding revenue recognition. This new guidance becomes effective for our fiscal year beginning April 1, 2018, and we will adopt it using the modified retrospective transition method, applying the new guidance to the most current period presented. We currently have only the BlueRock Agreement as a potential revenue generating arrangement. Upon adoption of the new guidance, we anticipate no change to the units of accounting previously identified with respect to the BlueRock Agreement under legacy GAAP, which are now considered performance obligations under the new guidance, and there was no change to the revenue recognition pattern for the performance obligation. Accordingly, we do not expect the adoption of the new standard to have a material impact on our consolidated financial statements or result in a cumulative effect change to our opening accumulated deficit balance.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In accordance with ASC 360-10</w:t>
      </w:r>
      <w:r>
        <w:rPr>
          <w:rFonts w:ascii="Times New Roman" w:cs="Times New Roman" w:eastAsia="Times New Roman" w:hAnsi="Times New Roman"/>
          <w:sz w:val="16"/>
          <w:szCs w:val="16"/>
          <w:i w:val="1"/>
          <w:iCs w:val="1"/>
          <w:color w:val="auto"/>
        </w:rPr>
        <w:t>, Property, Plant &amp; Equipment—Overall</w:t>
      </w:r>
      <w:r>
        <w:rPr>
          <w:rFonts w:ascii="Times New Roman" w:cs="Times New Roman" w:eastAsia="Times New Roman" w:hAnsi="Times New Roman"/>
          <w:sz w:val="16"/>
          <w:szCs w:val="16"/>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our oral NMDAR GlyB antagonist product candidate in clinical development for MDD and potentially for other CNS indications, stem cell research and development costs, and costs related to the application and prosecution of patents related to AV-101 and our stem cell technology platform. All such costs are charged to expense as incurred. We also record accruals for estimated ongoing clinical trial costs. Clinical trial costs represent costs incurred by contract research organizations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We recognize non-cash compensation expense for all stock-based awards to employees based on the grant date fair value of the award. We record this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in accordance with guidance provided by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in Connection with Equity Financing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See Note 3 to the Consolidated Financial Statements included in Item 8 in this Annual Report on Form 10-K for information on recent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We have not yet achieved recurring revenue-generating status from any of our product candidates or technologies. Since inception,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w:t>
      </w:r>
      <w:r>
        <w:rPr>
          <w:rFonts w:ascii="Times New Roman" w:cs="Times New Roman" w:eastAsia="Times New Roman" w:hAnsi="Times New Roman"/>
          <w:sz w:val="16"/>
          <w:szCs w:val="16"/>
          <w:i w:val="1"/>
          <w:iCs w:val="1"/>
          <w:color w:val="auto"/>
        </w:rPr>
        <w:t>IP</w:t>
      </w:r>
      <w:r>
        <w:rPr>
          <w:rFonts w:ascii="Times New Roman" w:cs="Times New Roman" w:eastAsia="Times New Roman" w:hAnsi="Times New Roman"/>
          <w:sz w:val="16"/>
          <w:szCs w:val="16"/>
          <w:color w:val="auto"/>
        </w:rPr>
        <w:t>) related to our product candidates and technologies, with the corollary initiatives of recruiting and retaining personnel and raising working capital. As of March 31, 2018, we had an accumulated deficit of approximately $156.5 million. Our net loss for the fiscal years ended March 31, 2018 and 2017 was approximately $14.3 million and $10.3 million, respectively. We expect losses to continue for the foreseeable future, primarily as a result of our ELEVATE Study and further clinical development of AV-101 for the adjunctive treatment of MDD, as well as a range of other CNS indications.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Our Fiscal Year Ended March 31, 2018</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fiscal year ended March 31, 2018 (</w:t>
      </w:r>
      <w:r>
        <w:rPr>
          <w:rFonts w:ascii="Times New Roman" w:cs="Times New Roman" w:eastAsia="Times New Roman" w:hAnsi="Times New Roman"/>
          <w:sz w:val="18"/>
          <w:szCs w:val="18"/>
          <w:i w:val="1"/>
          <w:iCs w:val="1"/>
          <w:color w:val="auto"/>
        </w:rPr>
        <w:t>Fiscal 2018</w:t>
      </w:r>
      <w:r>
        <w:rPr>
          <w:rFonts w:ascii="Times New Roman" w:cs="Times New Roman" w:eastAsia="Times New Roman" w:hAnsi="Times New Roman"/>
          <w:sz w:val="18"/>
          <w:szCs w:val="18"/>
          <w:color w:val="auto"/>
        </w:rPr>
        <w:t xml:space="preserve">), we have continued to (i) advance nonclinical, including manufacturing, and clinical development of AV-101 as a potential new generation antidepressant and as a potential new therapeutic alternative for several other CNS indications with significant unmet medical need, (ii) expand our regulatory and IP foundation to support broad clinical development and, ultimately, commercialization of AV-101 in the U.S. and major foreign markets, and (iii) on a limited basis, advance the predictive toxicology capabilities of </w:t>
      </w:r>
      <w:r>
        <w:rPr>
          <w:rFonts w:ascii="Times New Roman" w:cs="Times New Roman" w:eastAsia="Times New Roman" w:hAnsi="Times New Roman"/>
          <w:sz w:val="18"/>
          <w:szCs w:val="18"/>
          <w:i w:val="1"/>
          <w:iCs w:val="1"/>
          <w:color w:val="auto"/>
        </w:rPr>
        <w:t>CardioSafe</w:t>
      </w:r>
      <w:r>
        <w:rPr>
          <w:rFonts w:ascii="Times New Roman" w:cs="Times New Roman" w:eastAsia="Times New Roman" w:hAnsi="Times New Roman"/>
          <w:sz w:val="18"/>
          <w:szCs w:val="18"/>
          <w:color w:val="auto"/>
        </w:rPr>
        <w:t xml:space="preserve"> 3D for small molecule NCE drug rescue and development applications and collaborative cell therapy and/or RM opportunities related to our stem cell technology platform.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Pursuant to our CRADA with the NIMH, the NIMH continues to fund, and Dr. Carlos Zarate Jr. of the NIMH continues to conduct, the NIMH Study at no cost to us other than supplying clinical trial material.</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fourth quarter of Fiscal 2018, we launched our ELEVATE Study. During our preparations for the launch of the ELEVATE Study, we pursued initiatives that significantly improved the efficiency of our AV-101 manufacturing processes and supplied sufficient quantities of AV-101 to enable comprehensive initiation of the ELEVATE Study.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E0E0E"/>
        </w:rPr>
        <w:t>Additionally, during Fiscal 2018, we continued to pursue initiatives to secure a broad portfolio of patent protection for AV-101, covering multiple CNS indications, unit dose formulations and chemical synthesis methods. During Fiscal 2018 and subsequently, we filed and have pursued several patent applications in the U.S., Europe, Japan and other selected countries and regions. Several of these patent applications were allowed or have been granted, including for (i) certain novel therapeutic methods for the use of AV-101, including treatment of depression (U. S. and Europe), (ii) certain unit dose formulations of AV-101 (U.S. and Europe) and (iii) treatment of levodopa-induced dyskinesia (Europe). Other patent applications have been allowed or granted for the chemical synthesis of AV-101 (U.S., Europe and Japan). We have also recently filed a new U.S. provisional patent application for the AV-101 patent portfolio. Based on our patent issuances or allowances to-date, we believe that counterpart patent applications related to AV-101 currently under review in other countries are likely to be granted, although there can be no assurance that all pending applications will ultimately be granted.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0E0E0E"/>
        </w:rPr>
        <w:t>We have obtained and are pursuing patent rights to the production of several types of stem cells, including cardiomyocytes, hematopoietic cells, chondrocytes, cartilage cells and hepatocytes, as well as the use of certain cell types that have been differentiated from pluripotent stem cells for therapeutic purposes, including cell-based therapy and regenerative medicine. For example, the U.S. Patent and Trademark Office (USPTO) granted a patent during Fiscal 2018 related to methods for producing, from human pluripotent stem cells (hPSCs), hematopoietic precursor stem cells, which are stem cells that give rise to all of the blood cells and most of the bone marrow cells in the body. A related patent application was allowed in Japan and we expect this patent to be granted by the Japanese Patent Office later this year. VistaGen holds an exclusive license to this patent from the University Health Network (UHN). The technology covered by the patent has the potential to impact both direct and supportive therapy for autoimmune disorders and cancer, with CAR-T cell applications, and foundational technology which may provide approaches for producing bone marrow stem cells for bone marrow transfusions.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0E0E0E"/>
        </w:rPr>
        <w:t>We were granted a U.S. patent in 2018 related to methods of producing pluripotent stem cell-derived chondrocytes, chondrocyte lineage cells, cartilage-like tissue and cartilage. Additionally, the USPTO allowed claims to the therapeutic administration of these cells and tissues to treat osteoarthritis and joint injuries affecting cartilage. VistaGen also holds an exclusive license to this patent from UHN.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2017, we completed an underwritten public offering of shares of our common stock and warrants to purchase shares of our common stock at a combined public offering price of $1.50 per share and related warrant, resulting in gross proceeds of $15.0 million (the </w:t>
      </w:r>
      <w:r>
        <w:rPr>
          <w:rFonts w:ascii="Times New Roman" w:cs="Times New Roman" w:eastAsia="Times New Roman" w:hAnsi="Times New Roman"/>
          <w:sz w:val="18"/>
          <w:szCs w:val="18"/>
          <w:i w:val="1"/>
          <w:iCs w:val="1"/>
          <w:color w:val="auto"/>
        </w:rPr>
        <w:t>December 2017 Public Offering</w:t>
      </w:r>
      <w:r>
        <w:rPr>
          <w:rFonts w:ascii="Times New Roman" w:cs="Times New Roman" w:eastAsia="Times New Roman" w:hAnsi="Times New Roman"/>
          <w:sz w:val="18"/>
          <w:szCs w:val="18"/>
          <w:color w:val="auto"/>
        </w:rPr>
        <w:t xml:space="preserve">). We issued an aggregate of 10,000,000 shares of our common stock and warrants to purchase up to 10,000,000 shares of our common stock at an exercise price of $1.50 per share (the </w:t>
      </w:r>
      <w:r>
        <w:rPr>
          <w:rFonts w:ascii="Times New Roman" w:cs="Times New Roman" w:eastAsia="Times New Roman" w:hAnsi="Times New Roman"/>
          <w:sz w:val="18"/>
          <w:szCs w:val="18"/>
          <w:i w:val="1"/>
          <w:iCs w:val="1"/>
          <w:color w:val="auto"/>
        </w:rPr>
        <w:t>December 2017 Offering Warrants</w:t>
      </w:r>
      <w:r>
        <w:rPr>
          <w:rFonts w:ascii="Times New Roman" w:cs="Times New Roman" w:eastAsia="Times New Roman" w:hAnsi="Times New Roman"/>
          <w:sz w:val="18"/>
          <w:szCs w:val="18"/>
          <w:color w:val="auto"/>
        </w:rPr>
        <w:t xml:space="preserve">). The December 2017 Offering Warrants are exercisable at any time through December 13, 2022, and do not contain any cashless exercise features as long as our Registration Statement on Form S-1 (Registration No. 333-221009) (the </w:t>
      </w:r>
      <w:r>
        <w:rPr>
          <w:rFonts w:ascii="Times New Roman" w:cs="Times New Roman" w:eastAsia="Times New Roman" w:hAnsi="Times New Roman"/>
          <w:sz w:val="18"/>
          <w:szCs w:val="18"/>
          <w:i w:val="1"/>
          <w:iCs w:val="1"/>
          <w:color w:val="auto"/>
        </w:rPr>
        <w:t>S-1</w:t>
      </w:r>
      <w:r>
        <w:rPr>
          <w:rFonts w:ascii="Times New Roman" w:cs="Times New Roman" w:eastAsia="Times New Roman" w:hAnsi="Times New Roman"/>
          <w:sz w:val="18"/>
          <w:szCs w:val="18"/>
          <w:color w:val="auto"/>
        </w:rPr>
        <w:t>) is effective. We received net proceeds of approximately $13.6 million from the December 2017 Public Offering, after deducting underwriter’s commission and other expenses related to the offering. The common stock and the shares of common stock underlying the December 2017 Offering Warrants issued in the December 2017 Public Offering were offered, issued and sold pursuant to the S-1.</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2017, we completed an underwritten public offering, pursuant to which we sold 1,371,430 shares of our common stock and Series A1 Warrants to purchase up to 1,388,931 shares of common stock and Series A2 Warrants to purchase up to 503,641 shares of common stock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each initially exercisable for $1.82 per share to two of our existing institutional investors, resulting in net proceeds of approximately $2.0 million (the </w:t>
      </w:r>
      <w:r>
        <w:rPr>
          <w:rFonts w:ascii="Times New Roman" w:cs="Times New Roman" w:eastAsia="Times New Roman" w:hAnsi="Times New Roman"/>
          <w:sz w:val="18"/>
          <w:szCs w:val="18"/>
          <w:i w:val="1"/>
          <w:iCs w:val="1"/>
          <w:color w:val="auto"/>
        </w:rPr>
        <w:t>September 2017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The Series A1 Warrants became exercisable for a five-year period commencing on March 7, 2018, and the Series A2 Warrants were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through September 6, 2022. The common stock and the shares of common stock underlying the Warrants issued in the September 2017 Public Offering were sold pursuant to our effective Registration Statement on Form S-3 (Registration No. 333-215671) to cover this and potential future sales of our equity securities in one or more public offerings from time to time. Consistent with the anti-dilution protection provisions of the Series A2 Warrants, the exercise price of such warrants was reduced upon the closing of the December 2017 Public Offering. In December 2017 and January 2018, all of the Series A2 Warrants were exercised at the reset exercise price resulting from the December 2017 Public Offering and we received nominal cash proceeds. Following these exercises, none of our outstanding warrants have down round anti-dilution protection features, except as is customary with respect to a change in our capital structure in the event of a stock split or dividend.</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2018, we also entered into self-placed private placement transactions with individual accredited investors, pursuant to which we sold units consisting of an aggregate of 616,323 shares of our unregistered common stock and, after adjustments, warrants which are not exercisable until six months and one day following issuance and expire between April 30, 2021 and November 30, 2022, to purchase an aggregate of 616,323 unregistered shares of our common stock at a weighted average fixed exercise price of approximately $2.00 per share. We received aggregate cash proceeds of approximately $1.1 million in these self-placed private placement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2017, we appointed Mark Wallace, M.D., Distinguished Professor of Clinical Anesthesiology at the University of California, San Diego, to our Clinical and Regulatory Advisory Board to assist us in advancing development of AV-101 as a potential non-opioid, non-addictive, non-sedating oral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March 31, 2018 and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fiscal years ended March 31, 2018 and 2017 (amounts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Fiscal Year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accounts payable</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Deemed dividend from trigger of down round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feature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(15,575)</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recognized $1.25 million in sublicense revenue pursuant to the BlueRock Agreement in the fiscal year ended March 31, 2017 (</w:t>
      </w:r>
      <w:r>
        <w:rPr>
          <w:rFonts w:ascii="Times New Roman" w:cs="Times New Roman" w:eastAsia="Times New Roman" w:hAnsi="Times New Roman"/>
          <w:sz w:val="18"/>
          <w:szCs w:val="18"/>
          <w:i w:val="1"/>
          <w:iCs w:val="1"/>
          <w:color w:val="auto"/>
        </w:rPr>
        <w:t>Fiscal 2017</w:t>
      </w:r>
      <w:r>
        <w:rPr>
          <w:rFonts w:ascii="Times New Roman" w:cs="Times New Roman" w:eastAsia="Times New Roman" w:hAnsi="Times New Roman"/>
          <w:sz w:val="18"/>
          <w:szCs w:val="18"/>
          <w:color w:val="auto"/>
        </w:rPr>
        <w:t>). While we may potentially receive additional payments and royalties under the BlueRock Agreement in the future, in the event certain performance-based milestones and commercial sales are achieved, we reported no revenue under the agreement in Fiscal 2018 and we presently have no recurring revenue generating arrangements with respect to AV-101 or other potential product candidates. There can be no assurance that the BlueRock Agreement will provide additional revenue to us in the near term or at all.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including both cash and noncash components, totaled approximately $7.8 million for Fiscal 2018, an increase of approximately 49% compared to the $5.2 million reported for Fiscal 2017. Noncash expenses totaled approximately $1,595,000 and $534,000 for Fiscal 2018 and Fiscal 2017, respectively, including stock compensation, depreciation and a portion of rent expense in both periods, and a portion of AV-101 project expenses in Fiscal 2018. The increase in research and development expense in Fiscal 2018 reflects our continued focus on nonclinical and clinical development of AV-101, particularly our preparations for and fourth quarter Fiscal 2018 initiation of the ELEVATE Study. The following table indicates the primary components of research and development expense for each of the periods (amounts in thousands):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primary components of research and development expense for each of the periods (amounts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Technology licenses and royalties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Project-related research and supplies: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AV-101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Stem cell and all other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increase in salaries and benefits reflects the hiring of our Chief Medical Officer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in June 2016, and a salary increase granted to our CMO in July 2017, as well as salary increases granted to our Chief Scientific Officer (</w:t>
      </w:r>
      <w:r>
        <w:rPr>
          <w:rFonts w:ascii="Times New Roman" w:cs="Times New Roman" w:eastAsia="Times New Roman" w:hAnsi="Times New Roman"/>
          <w:sz w:val="18"/>
          <w:szCs w:val="18"/>
          <w:i w:val="1"/>
          <w:iCs w:val="1"/>
          <w:color w:val="auto"/>
        </w:rPr>
        <w:t>CSO</w:t>
      </w:r>
      <w:r>
        <w:rPr>
          <w:rFonts w:ascii="Times New Roman" w:cs="Times New Roman" w:eastAsia="Times New Roman" w:hAnsi="Times New Roman"/>
          <w:sz w:val="18"/>
          <w:szCs w:val="18"/>
          <w:color w:val="auto"/>
        </w:rPr>
        <w:t>) and to the non-officer members of our scientific staff in June 2016 and June 2017, offset by the impact of a staff position terminated in April 2017. Additionally, our then-newly-hired CMO did not receive a bonus in July 2016; however, both our CMO and CSO were granted a bonus in September 2017.</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based compensation expense increased in the current period primarily as a result of the routine amortization of option grants made to our CSO, CMO and scientific staff in November 2016, April 2017, September 2017 and February 2018, plus the new-hire grant made to our CMO in June 2016. Grants awarded during Fiscal 2018 account for approximately $521,000 of Fiscal 2018 expense. The expense attributable to these grants is generally being amortized over a two-year to four-year vesting period, based on the terms of the respective grants. Substantially all option grants made prior to September 2015 were fully-vested and fully-expensed prior to June 30, 2017.</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Fiscal 2018 expense primarily reflects payment under consulting agreements with our stem cell-related scientific advisory board members. Consulting expense in Fiscal 2017 reflected the impact of the rationalization of the agreements and accruals related to previous advisory board members.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Technology license expense in both periods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also includes legal counsel and other costs we have incurred to advance numerous pending or now-granted patent applications in the U.S. and various foreign countries with respect to AV-101 and our stem cell technology platform. Technology license-related expense for Fiscal 2017 also includes net expense of $158,000 related to the sublicense consideration paid to UHN pursuant to the BlueRock Agreement plus additional fees and expenses related to two additional stem cell technology related licenses acquired from UHN, net of amounts previously accrued in connection with our prior sponsored research agreement with UHN, as well as noncash expense of $55,000 representing the fair value of a warrant granted to intellectual property counsel as partial compensation for services.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AV-101 project expense for both periods includes costs incurred to develop more efficient and cost-effective proprietary manufacturing methods for AV-101, and to produce clinical trial material for the ELEVATE Study, and, primarily in Fiscal 2018, costs incurred for certain other nonclinical studies to facilitate further clinical development of AV-101 in MDD and potentially for other indications and to comply with applicable FDA regulations. We expect these expenses to increase significantly during fiscal 2019, as we continue to conduct and move towards completion of the ELEVATE Study. Stem cell and other project related expenses reflects costs associated with our in-house stem cell technology-related initiatives, and, to a greater extent in Fiscal 2017, our participation in the FDA’s CiPA project.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rent expense in Fiscal 2018 reflects higher commercial property rents prevalent in the South San Francisco real estate market as recognized in our November 2016 lease amendment, which extended the lease of our headquarters and laboratory facilities in South San Francisco by five years, from July 31, 2017 to July 31, 2022, and the related accounting for the extension amendment.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General and administrative expense, including both cash and noncash components, increased approximately 2% to $6.4 million in Fiscal 2018 from $6.3 million in Fiscal 2017. Noncash expense accounted for approximately $2.9 million and $3.1 million in Fiscal 2018 and Fiscal 2017, respectively, including, in both periods, stock compensation expense, a portion of investor relations and professional services expenses, warrant modification expense, and a portion of rent expense. The overall increase in general and administrative expenses was primarily attributable to increased salary and benefits expense and noncash stock compensation and investor relations expenses, offset by reductions in professional services and noncash warrant modification expenses. The following table indicates the primary components of general and administrative expenses, including noncash components, for each of the periods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193"/>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2018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514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1,575</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fees</w:t>
            </w:r>
          </w:p>
        </w:tc>
        <w:tc>
          <w:tcPr>
            <w:tcW w:w="4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4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4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4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44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140" w:type="dxa"/>
            <w:vAlign w:val="bottom"/>
            <w:gridSpan w:val="2"/>
          </w:tcPr>
          <w:p>
            <w:pPr>
              <w:jc w:val="right"/>
              <w:ind w:right="52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6,437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40" w:type="dxa"/>
            <w:vAlign w:val="bottom"/>
            <w:vMerge w:val="restart"/>
          </w:tcPr>
          <w:p>
            <w:pPr>
              <w:jc w:val="right"/>
              <w:ind w:right="2876"/>
              <w:spacing w:after="0"/>
              <w:rPr>
                <w:sz w:val="20"/>
                <w:szCs w:val="20"/>
                <w:color w:val="auto"/>
              </w:rPr>
            </w:pPr>
            <w:r>
              <w:rPr>
                <w:rFonts w:ascii="Times New Roman" w:cs="Times New Roman" w:eastAsia="Times New Roman" w:hAnsi="Times New Roman"/>
                <w:sz w:val="18"/>
                <w:szCs w:val="18"/>
                <w:color w:val="auto"/>
              </w:rPr>
              <w:t>-59-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salaries and benefits reflects the impact of the hiring of our VP-Corporate Development in September 2016 and salary increases granted in June 2016 and July 2017 to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and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and in June 2016 and June 2017 to a non-officer member of our administrative staff. Additionally, each of our administrative officers was granted a bonus in September 2017, but our VP-Corporate Development had not yet joined the Company in July 2016, when our CEO and CFO received a bonus payment.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based compensation expense increased in 2017 primarily as a result of the routine amortization of option grants to independent members of our Board of Directors and our CEO, CFO, VP-Corporate Development and administrative staff in November 2016, April 2017, September 2017 and February 2018, plus the new-hire grant made to our VP-Corporate Development in September 2016. Grants awarded during Fiscal 2018 account for approximately $884,000 of Fiscal 2018 expense. The expense attributable to these grants is generally being amortized over a two-year to four-year vesting period based on the terms of the respective grants. Substantially all option grants made prior to September 2015 were fully-vested and fully-expensed prior to June 30, 2017.</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Board fees includes fees recognized for the services of independent members of our Board. The Board modified its committee assignments effective in April 2017, resulting in the modest increase in expense.</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Legal, accounting and other professional fees for both Fiscal 208 and Fiscal 2017 includes expense related to routine corporate legal services, the accounting expense related to the annual audit of the prior year’s financial statements, tax return preparation and the review of the financial statements for the first three quarters of each fiscal year, and various financial advisory and corporate development services. In addition to cash fees incurred, during the second quarter of Fiscal 2018, we granted an aggregate of 20,000 unregistered shares of our common stock having an aggregate grant date fair value of $30,800 to legal services providers as partial compensation for services and an aggregate of 150,000 unregistered shares of our common stock having an aggregate grant date fair value of $234,000 to two investment banking firms pursuant to financial advisory agreements. Noncash expense recognized during Fiscal 2017 includes (i) $337,500 recognized in the first quarter pursuant to the June 30, 2015 grant of an aggregate of 90,000 shares of our Series B 10% convertible preferred stock having an aggregate grant date fair value of $1,350,000 as compensation for financial advisory and corporate development service contracts with two independent providers for services to be performed through June 30, 2016; (ii) $108,500 recognized in the second quarter representing the grant date fair value of 25,000 unregistered shares of our common stock granted to a legal services provider as compensation for services; and (iii) an aggregate of $1,058,800 recognized in the third and fourth quarters of Fiscal 2017 representing the grant date fair value of 320,000 unregistered shares of our common stock granted as compensation for financial advisory, investment banking and business development services.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During Fiscal 2018, in addition to cash fees and expenses we incurred, we granted an aggregate of 582,000 shares of our unregistered common stock to various corporate development, investor relations, market awareness and business advisory service providers as full or partial compensation for their services and recognized noncash expense totaling $886,300, representing the grant date fair value of the stock issued. During Fiscal 2017, in addition to cash fees and expenses we incurred, we granted an aggregate of 160,000 unregistered shares of our common stock to six investor relations and market awareness service providers as full or partial compensation for their services and recognized non-cash expense of $472,800, representing the grant date fair value of the stock.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grant date fair value of the warrants.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both fiscal years,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increase in rent expense in Fiscal 2018 reflects higher commercial property rents prevalent in the South San Francisco real estate market as recognized in our November 2016 lease amendment, which extended the lease of our headquarters and laboratory facilities in South San Francisco by five years, from July 31, 2017 to July 31, 2022, and the related accounting for the extension amendment.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second quarter of Fiscal 2018,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each additional warrant having an exercise price of $2.00 per share. We recognized noncash expense of $279,700 in the second quarter of Fiscal 2018, representing the increase in fair value of the initially-granted warrants before and after the modification plus the fair value of the additional warrants granted. In the third quarter of Fiscal 2018, we modified outstanding warrants issued in private placement transactions between August 2017 and November 2017 to purchase an aggregate of 178,572 shares of our common stock to reduce the exercise prices from a weighted average of $2.32 per share to a weighted average of $1.58 per share. We recognized the increase in the fair value of the warrants, $13,000, as noncash warrant modification expense in the third quarter of Fiscal 2018. Between April 2016 and December 2016, we entered into warrant exchange agreements with certain warrant holders pursuant to which the warrant holders exchanged outstanding warrants to purchase an aggregate of 224,513 shares of our common stock for an aggregate of 156,246 shares of our unregistered common stock. We accounted for these transactions as warrant modifications, resulting in our recognition of an aggregate of $350,700 in noncash expense attributable to the increase in fair value related to the warrant exchanges during the first through third quarters of Fiscal 2017. Additionally, in the third quarter of Fiscal 2017, we modified an outstanding warrant to reduce the exercise price from $8.00 per share to $3.51 per share and increase the number of shares exercisable under the warrant from 25,000 shares to 50,000 shares, recognizing $76,900 in expense in the third quarter as the incremental fair value attributable to the modification.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61" w:name="page62"/>
    <w:bookmarkEnd w:id="6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Expenses, Net</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expense totaled $8,900 for Fiscal 2018 compared to $4,600 for Fiscal 2017. Interest expense in both periods relates to interest paid on insurance premium financing and on a capital lease of office equipment.</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third quarter of Fiscal 2018, we issued 500,000 unregistered shares of our common stock having a grant date fair value of $585,000 and a cash payment of $76,500 to a contract manufacturing organization in settlement of $526,500 of open accounts payable. We recognized a corresponding loss on settlement of accounts payable in the amount of $135,000 for the quarter.</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$1,030,400, and $1,257,000 in Fiscal 2018 and Fiscal 2017, respectively, representing the 10% cumulative noncash dividend payable on our Series B Preferred as an additional deduction in arriving at net loss attributable to common stockholders in the Consolidated Statement of Operations and Comprehensive Loss included in Item 8 of this Annual Report. The reduction in the dividend accrual results from the automatic conversion of an aggregate of 2,403,051 shares of Series B Preferred into an equal number of shares of our common stock upon our completion of our May 2016 public offering of units consisting of common stock and warrants, and a subsequent voluntary conversion of 87,500 shares of our Series B Preferred in August 2016. There have been no conversions of outstanding shares of Series B Preferred into common shares since August 2016.</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sale of units consisting of common stock and warrants in the December 2017 Public Offering at an offering price of $1.50 per unit triggered the anti-dilution protection provisions of the Series A2 Warrants to purchase an aggregate of 503,641 shares of our common stock issued in the September 2017 Public Offering. In accordance with the anti-dilution terms and formula contained in the Series A2 warrants, the exercise price of the Series A2 Warrants was reduced from the initial exercise price of $1.82 per share to $0.001 per share. We recognized the effect of triggering the down round feature, $199,200, as a further addition to net loss attributable to common stockholders and in our calculation of basic and fully diluted earnings per share in our Consolidated Statement of Operations and Comprehensive Loss and as a dividend in our Consolidated Statement of Stockholders’ Equity included in Item 8 of this Annual Report. The holders of the Series A2 Warrants subsequently exercised them in the third and fourth quarters of Fiscal 2018 and we received minimal cash proceeds from the exercises. Following the exercise of the Series A2 Warrants, none of our outstanding warrants contain antidilution protection provisions other than is customary in the event of a change in our capital structure as a result of a stock split or dividend.</w:t>
      </w:r>
    </w:p>
    <w:p>
      <w:pPr>
        <w:spacing w:after="0" w:line="1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During the first quarter of Fiscal 2017,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Fiscal 2017 in the Consolidated Statement of Operations and Comprehensive Loss included in Item 8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in May 1998 through March 31, 2018, we have financed our operations and technology acquisitions primarily through the issuance and sale of equity and debt securities, including convertible promissory notes and short-term promissory notes, for cash proceeds of approximately $61.4 million, as well as from an aggregate of approximately $17.6 million of government research grant awards (excluding the fair market value of the NIMH Study), strategic collaboration payments, intellectual property sublicensing and other revenues. Additionally, we have issued equity securities with an approximate value at issuance of $33.6 million in non-cash settlements of certain liabilities, including liabilities for professional services rendered to us or as compensation for such services.</w:t>
      </w:r>
    </w:p>
    <w:p>
      <w:pPr>
        <w:spacing w:after="0" w:line="19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In December 2017, we completed the December 2017 Public Offering pursuant to which sold shares of our common stock and warrants to purchase shares of our common stock at a combined public offering price of $1.50 per share and related warrant under our Registration Statement on Form S-1 (Registration No. 333-221009), resulting in gross proceeds of $15.0 million. In September 2017, we completed the September 2017 Public Offering pursuant to which we sold shares of our common stock and warrants resulting in gross proceeds of approximately $2.4 million under our Registration Statement on Form S-3 (Registration No. 333-215671). Subject to certain restrictions, the S-3 Registration Statement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March 31, 2018, we had a cash and cash equivalents balance of $10.4 million. This amount was not sufficient to enable us to fund our planned operations, including expected cash expenditures of approximately $13 million for the twelve months following the date of this Annual Report, including expenditures required to satisfy a significant portion of the projected expenses associated with our ELEVATE Study.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position at March 31, 2018 considered with our recurring and anticipated losses, negative cash flows from operations and limited stockholders’ equity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potential sale of our equity securities, we may also seek to enter research and development collaborations that could generate revenue and/or provide funding for development of AV-101 and additional product candidates. We may also seek additional government grant awards or agreements similar to our current CRADA with the NIMH, which provides for the NIMH to fully fund the NIMH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9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future financing will be available in sufficient amounts, in a timely manner, or on terms acceptable to us, if at all. If we are unable to obtain substantial additional financing on a timely basis when needed in 2018 or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periods stated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(9,058)</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2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80" w:type="dxa"/>
            <w:vAlign w:val="bottom"/>
            <w:vMerge w:val="restart"/>
          </w:tcPr>
          <w:p>
            <w:pPr>
              <w:jc w:val="right"/>
              <w:ind w:right="2872"/>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VistaStem has two inactive, wholly owned subsidiaries, Artemis Neuroscience, Inc., a Maryland corporation, and VistaStem Canada, Inc., an Ontario corporation.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340" w:type="dxa"/>
            <w:vAlign w:val="bottom"/>
            <w:gridSpan w:val="2"/>
            <w:shd w:val="clear" w:color="auto" w:fill="CCEEFF"/>
          </w:tcPr>
          <w:p>
            <w:pPr>
              <w:jc w:val="center"/>
              <w:ind w:left="5352"/>
              <w:spacing w:after="0"/>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340" w:type="dxa"/>
            <w:vAlign w:val="bottom"/>
            <w:gridSpan w:val="2"/>
          </w:tcPr>
          <w:p>
            <w:pPr>
              <w:jc w:val="center"/>
              <w:ind w:left="5352"/>
              <w:spacing w:after="0"/>
              <w:rPr>
                <w:sz w:val="20"/>
                <w:szCs w:val="20"/>
                <w:color w:val="auto"/>
              </w:rPr>
            </w:pPr>
            <w:r>
              <w:rPr>
                <w:rFonts w:ascii="Times New Roman" w:cs="Times New Roman" w:eastAsia="Times New Roman" w:hAnsi="Times New Roman"/>
                <w:sz w:val="18"/>
                <w:szCs w:val="18"/>
                <w:color w:val="auto"/>
                <w:w w:val="99"/>
              </w:rPr>
              <w:t>66</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6340" w:type="dxa"/>
            <w:vAlign w:val="bottom"/>
            <w:gridSpan w:val="2"/>
            <w:shd w:val="clear" w:color="auto" w:fill="CCEEFF"/>
          </w:tcPr>
          <w:p>
            <w:pPr>
              <w:jc w:val="center"/>
              <w:ind w:left="5352"/>
              <w:spacing w:after="0"/>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340" w:type="dxa"/>
            <w:vAlign w:val="bottom"/>
            <w:gridSpan w:val="2"/>
          </w:tcPr>
          <w:p>
            <w:pPr>
              <w:jc w:val="center"/>
              <w:ind w:left="5352"/>
              <w:spacing w:after="0"/>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tc>
        <w:tc>
          <w:tcPr>
            <w:tcW w:w="6340" w:type="dxa"/>
            <w:vAlign w:val="bottom"/>
            <w:gridSpan w:val="2"/>
            <w:shd w:val="clear" w:color="auto" w:fill="CCEEFF"/>
          </w:tcPr>
          <w:p>
            <w:pPr>
              <w:jc w:val="center"/>
              <w:ind w:left="5352"/>
              <w:spacing w:after="0"/>
              <w:rPr>
                <w:sz w:val="20"/>
                <w:szCs w:val="20"/>
                <w:color w:val="auto"/>
              </w:rPr>
            </w:pPr>
            <w:r>
              <w:rPr>
                <w:rFonts w:ascii="Times New Roman" w:cs="Times New Roman" w:eastAsia="Times New Roman" w:hAnsi="Times New Roman"/>
                <w:sz w:val="18"/>
                <w:szCs w:val="18"/>
                <w:color w:val="auto"/>
                <w:w w:val="99"/>
              </w:rPr>
              <w:t>69</w:t>
            </w: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340" w:type="dxa"/>
            <w:vAlign w:val="bottom"/>
            <w:gridSpan w:val="2"/>
          </w:tcPr>
          <w:p>
            <w:pPr>
              <w:jc w:val="center"/>
              <w:ind w:left="5352"/>
              <w:spacing w:after="0"/>
              <w:rPr>
                <w:sz w:val="20"/>
                <w:szCs w:val="20"/>
                <w:color w:val="auto"/>
              </w:rPr>
            </w:pPr>
            <w:r>
              <w:rPr>
                <w:rFonts w:ascii="Times New Roman" w:cs="Times New Roman" w:eastAsia="Times New Roman" w:hAnsi="Times New Roman"/>
                <w:sz w:val="18"/>
                <w:szCs w:val="18"/>
                <w:color w:val="auto"/>
                <w:w w:val="99"/>
              </w:rPr>
              <w:t>70</w:t>
            </w:r>
          </w:p>
        </w:tc>
      </w:tr>
      <w:tr>
        <w:trPr>
          <w:trHeight w:val="643"/>
        </w:trPr>
        <w:tc>
          <w:tcPr>
            <w:tcW w:w="2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jc w:val="right"/>
              <w:ind w:right="4572"/>
              <w:spacing w:after="0"/>
              <w:rPr>
                <w:sz w:val="20"/>
                <w:szCs w:val="20"/>
                <w:color w:val="auto"/>
              </w:rPr>
            </w:pPr>
            <w:r>
              <w:rPr>
                <w:rFonts w:ascii="Times New Roman" w:cs="Times New Roman" w:eastAsia="Times New Roman" w:hAnsi="Times New Roman"/>
                <w:sz w:val="18"/>
                <w:szCs w:val="18"/>
                <w:color w:val="auto"/>
              </w:rPr>
              <w:t>-64-</w:t>
            </w: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VistaGen Therapeutics, Inc. as of March 31, 2018 and 2017, the related consolidated statements of operations and comprehensive loss, cash flows, and stockholders’ equity (deficit) for each of the two fiscal years in the period ended March 31, 2018, and the related notes (collectively referred to as the “financial statements”). In our opinion, the financial statements present fairly, in all material respects, the financial position of the Company at March 31, 2018 and 2017, and the results of its operations and its cash flows for each of the two years in the period ended March 31, 2018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minimal stockholders’ equity, all of which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2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206"/>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7"/>
                <w:szCs w:val="17"/>
                <w:color w:val="auto"/>
              </w:rPr>
            </w:pPr>
          </w:p>
        </w:tc>
      </w:tr>
      <w:tr>
        <w:trPr>
          <w:trHeight w:val="241"/>
        </w:trPr>
        <w:tc>
          <w:tcPr>
            <w:tcW w:w="8700" w:type="dxa"/>
            <w:vAlign w:val="bottom"/>
          </w:tcPr>
          <w:p>
            <w:pPr>
              <w:ind w:left="5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2,921,300</w:t>
            </w:r>
          </w:p>
        </w:tc>
        <w:tc>
          <w:tcPr>
            <w:tcW w:w="140" w:type="dxa"/>
            <w:vAlign w:val="bottom"/>
            <w:shd w:val="clear" w:color="auto" w:fill="CCEEFF"/>
          </w:tcPr>
          <w:p>
            <w:pPr>
              <w:spacing w:after="0"/>
              <w:rPr>
                <w:sz w:val="18"/>
                <w:szCs w:val="18"/>
                <w:color w:val="auto"/>
              </w:rPr>
            </w:pPr>
          </w:p>
        </w:tc>
      </w:tr>
      <w:tr>
        <w:trPr>
          <w:trHeight w:val="223"/>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456,600</w:t>
            </w:r>
          </w:p>
        </w:tc>
        <w:tc>
          <w:tcPr>
            <w:tcW w:w="140" w:type="dxa"/>
            <w:vAlign w:val="bottom"/>
          </w:tcPr>
          <w:p>
            <w:pPr>
              <w:spacing w:after="0"/>
              <w:rPr>
                <w:sz w:val="19"/>
                <w:szCs w:val="19"/>
                <w:color w:val="auto"/>
              </w:rPr>
            </w:pPr>
          </w:p>
        </w:tc>
      </w:tr>
      <w:tr>
        <w:trPr>
          <w:trHeight w:val="216"/>
        </w:trPr>
        <w:tc>
          <w:tcPr>
            <w:tcW w:w="8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3,712,200</w:t>
            </w:r>
          </w:p>
        </w:tc>
        <w:tc>
          <w:tcPr>
            <w:tcW w:w="140" w:type="dxa"/>
            <w:vAlign w:val="bottom"/>
          </w:tcPr>
          <w:p>
            <w:pPr>
              <w:spacing w:after="0"/>
              <w:rPr>
                <w:sz w:val="18"/>
                <w:szCs w:val="18"/>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87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notes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1,367,500</w:t>
            </w:r>
          </w:p>
        </w:tc>
        <w:tc>
          <w:tcPr>
            <w:tcW w:w="14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1,728,900</w:t>
            </w:r>
          </w:p>
        </w:tc>
        <w:tc>
          <w:tcPr>
            <w:tcW w:w="140" w:type="dxa"/>
            <w:vAlign w:val="bottom"/>
          </w:tcPr>
          <w:p>
            <w:pPr>
              <w:spacing w:after="0"/>
              <w:rPr>
                <w:sz w:val="19"/>
                <w:szCs w:val="19"/>
                <w:color w:val="auto"/>
              </w:rPr>
            </w:pPr>
          </w:p>
        </w:tc>
      </w:tr>
      <w:tr>
        <w:trPr>
          <w:trHeight w:val="223"/>
        </w:trPr>
        <w:tc>
          <w:tcPr>
            <w:tcW w:w="8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2018 and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Series A Preferred, 500,000 shares authorized, issued and outstanding at March 31, 2018 and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r>
      <w:tr>
        <w:trPr>
          <w:trHeight w:val="202"/>
        </w:trPr>
        <w:tc>
          <w:tcPr>
            <w:tcW w:w="870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Series B Preferred; 4,000,000 shares authorized at March 31, 2018 and 2017; 1,160,240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87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issued and outstanding at March 31, 2018 and 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Series C Preferred; 3,000,000 shares authorized at March 31, 2018 and 2017; 2,318,012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issued and outstanding at March 31, 2018 and 2017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shd w:val="clear" w:color="auto" w:fill="CCEEFF"/>
          </w:tcPr>
          <w:p>
            <w:pPr>
              <w:spacing w:after="0"/>
              <w:rPr>
                <w:sz w:val="18"/>
                <w:szCs w:val="18"/>
                <w:color w:val="auto"/>
              </w:rPr>
            </w:pPr>
          </w:p>
        </w:tc>
      </w:tr>
      <w:tr>
        <w:trPr>
          <w:trHeight w:val="202"/>
        </w:trPr>
        <w:tc>
          <w:tcPr>
            <w:tcW w:w="87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color w:val="auto"/>
              </w:rPr>
              <w:t>Common stock, $0.001 par value; 100,000,000 and 30,000,000 shares authorized at March 31, 2018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8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March 31, 2017, respectively; 23,068,280 and 8,974,386 shares issued and outstanding at March 31, 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8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March 31, 2017,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167,401,400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146,569,600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135,665 shares of common stock held at March 31, 2018 and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(3,968,100)</w:t>
            </w: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(156,543,800)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(141,998,700)</w:t>
            </w:r>
          </w:p>
        </w:tc>
      </w:tr>
      <w:tr>
        <w:trPr>
          <w:trHeight w:val="223"/>
        </w:trPr>
        <w:tc>
          <w:tcPr>
            <w:tcW w:w="8700" w:type="dxa"/>
            <w:vAlign w:val="bottom"/>
            <w:tcBorders>
              <w:top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6,916,600</w:t>
            </w: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615,800</w:t>
            </w:r>
          </w:p>
        </w:tc>
        <w:tc>
          <w:tcPr>
            <w:tcW w:w="140" w:type="dxa"/>
            <w:vAlign w:val="bottom"/>
            <w:tcBorders>
              <w:top w:val="single" w:sz="8" w:color="CCEEFF"/>
            </w:tcBorders>
          </w:tcPr>
          <w:p>
            <w:pPr>
              <w:spacing w:after="0"/>
              <w:rPr>
                <w:sz w:val="19"/>
                <w:szCs w:val="19"/>
                <w:color w:val="auto"/>
              </w:rPr>
            </w:pPr>
          </w:p>
        </w:tc>
      </w:tr>
      <w:tr>
        <w:trPr>
          <w:trHeight w:val="257"/>
        </w:trPr>
        <w:tc>
          <w:tcPr>
            <w:tcW w:w="87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11,278,300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3,712,200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Sublicense revenue</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6,437,100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14,199,600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(14,199,600)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extinguishment of accounts payable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(14,343,500)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(14,345,900)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(1,030,400)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Deemed dividend from trigger of down round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feature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(199,200)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Deemed dividend on Series B Preferred Units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(15,575,500)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basic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diluted net loss attributable to common</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13,890,041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dollars)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r>
      <w:tr>
        <w:trPr>
          <w:trHeight w:val="223"/>
        </w:trPr>
        <w:tc>
          <w:tcPr>
            <w:tcW w:w="8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r>
      <w:tr>
        <w:trPr>
          <w:trHeight w:val="242"/>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(14,345,900)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(10,255,500)</w:t>
            </w:r>
          </w:p>
        </w:tc>
      </w:tr>
      <w:tr>
        <w:trPr>
          <w:trHeight w:val="216"/>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Expense related to modification of warrants, including exchange of warrants for common stock</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Fair value of common stock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Fair value of Series B Preferred stock granted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Fair value of warrants granted for services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extinguishment of accounts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(227,700)</w:t>
            </w:r>
          </w:p>
        </w:tc>
      </w:tr>
      <w:tr>
        <w:trPr>
          <w:trHeight w:val="216"/>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including accrued interest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(451,700)</w:t>
            </w:r>
          </w:p>
        </w:tc>
      </w:tr>
      <w:tr>
        <w:trPr>
          <w:trHeight w:val="27"/>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(9,058,300)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(7,262,100)</w:t>
            </w:r>
          </w:p>
        </w:tc>
      </w:tr>
      <w:tr>
        <w:trPr>
          <w:trHeight w:val="216"/>
        </w:trPr>
        <w:tc>
          <w:tcPr>
            <w:tcW w:w="8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flows from property and investing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(239,100)</w:t>
            </w:r>
          </w:p>
        </w:tc>
      </w:tr>
      <w:tr>
        <w:trPr>
          <w:trHeight w:val="27"/>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(239,100)</w:t>
            </w:r>
          </w:p>
        </w:tc>
      </w:tr>
      <w:tr>
        <w:trPr>
          <w:trHeight w:val="216"/>
        </w:trPr>
        <w:tc>
          <w:tcPr>
            <w:tcW w:w="8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 including Units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proceeds from issuance of Series B Preferred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capital lease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(203,000)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(182,200)</w:t>
            </w:r>
          </w:p>
        </w:tc>
      </w:tr>
      <w:tr>
        <w:trPr>
          <w:trHeight w:val="223"/>
        </w:trPr>
        <w:tc>
          <w:tcPr>
            <w:tcW w:w="8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16,516,900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10,378,300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2,921,300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disclosure of cash flow activities: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40" w:type="dxa"/>
            <w:vAlign w:val="bottom"/>
            <w:shd w:val="clear" w:color="auto" w:fill="CCEEFF"/>
          </w:tcPr>
          <w:p>
            <w:pPr>
              <w:spacing w:after="0"/>
              <w:rPr>
                <w:sz w:val="24"/>
                <w:szCs w:val="24"/>
                <w:color w:val="auto"/>
              </w:rPr>
            </w:pPr>
          </w:p>
        </w:tc>
      </w:tr>
      <w:tr>
        <w:trPr>
          <w:trHeight w:val="269"/>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23"/>
                <w:szCs w:val="23"/>
                <w:color w:val="auto"/>
              </w:rPr>
            </w:pPr>
          </w:p>
        </w:tc>
      </w:tr>
      <w:tr>
        <w:trPr>
          <w:trHeight w:val="217"/>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7"/>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202,100</w:t>
            </w: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178,200</w:t>
            </w:r>
          </w:p>
        </w:tc>
        <w:tc>
          <w:tcPr>
            <w:tcW w:w="140" w:type="dxa"/>
            <w:vAlign w:val="bottom"/>
            <w:shd w:val="clear" w:color="auto" w:fill="CCEEFF"/>
          </w:tcPr>
          <w:p>
            <w:pPr>
              <w:spacing w:after="0"/>
              <w:rPr>
                <w:sz w:val="24"/>
                <w:szCs w:val="24"/>
                <w:color w:val="auto"/>
              </w:rPr>
            </w:pPr>
          </w:p>
        </w:tc>
      </w:tr>
      <w:tr>
        <w:trPr>
          <w:trHeight w:val="269"/>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dividends on Series B Preferred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1,030,400</w:t>
            </w:r>
          </w:p>
        </w:tc>
        <w:tc>
          <w:tcPr>
            <w:tcW w:w="2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1,257,000</w:t>
            </w:r>
          </w:p>
        </w:tc>
        <w:tc>
          <w:tcPr>
            <w:tcW w:w="140" w:type="dxa"/>
            <w:vAlign w:val="bottom"/>
          </w:tcPr>
          <w:p>
            <w:pPr>
              <w:spacing w:after="0"/>
              <w:rPr>
                <w:sz w:val="23"/>
                <w:szCs w:val="23"/>
                <w:color w:val="auto"/>
              </w:rPr>
            </w:pPr>
          </w:p>
        </w:tc>
      </w:tr>
      <w:tr>
        <w:trPr>
          <w:trHeight w:val="271"/>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dividends on Series B Preferred settled upon conversion by issuance of common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1,768,800</w:t>
            </w:r>
          </w:p>
        </w:tc>
        <w:tc>
          <w:tcPr>
            <w:tcW w:w="140" w:type="dxa"/>
            <w:vAlign w:val="bottom"/>
            <w:shd w:val="clear" w:color="auto" w:fill="CCEEFF"/>
          </w:tcPr>
          <w:p>
            <w:pPr>
              <w:spacing w:after="0"/>
              <w:rPr>
                <w:sz w:val="23"/>
                <w:szCs w:val="23"/>
                <w:color w:val="auto"/>
              </w:rPr>
            </w:pPr>
          </w:p>
        </w:tc>
      </w:tr>
      <w:tr>
        <w:trPr>
          <w:trHeight w:val="269"/>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Deemed dividend from trigger of down round provision feature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199,200</w:t>
            </w:r>
          </w:p>
        </w:tc>
        <w:tc>
          <w:tcPr>
            <w:tcW w:w="2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r>
      <w:tr>
        <w:trPr>
          <w:trHeight w:val="271"/>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equipment under capital lease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40" w:type="dxa"/>
            <w:vAlign w:val="bottom"/>
            <w:shd w:val="clear" w:color="auto" w:fill="CCEEFF"/>
          </w:tcPr>
          <w:p>
            <w:pPr>
              <w:spacing w:after="0"/>
              <w:rPr>
                <w:sz w:val="23"/>
                <w:szCs w:val="23"/>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9" w:name="page70"/>
    <w:bookmarkEnd w:id="69"/>
    <w:p>
      <w:pPr>
        <w:spacing w:after="0" w:line="3" w:lineRule="exact"/>
        <w:rPr>
          <w:sz w:val="20"/>
          <w:szCs w:val="20"/>
          <w:color w:val="auto"/>
        </w:rPr>
      </w:pPr>
    </w:p>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Fiscal Years Ended March 31, 2017 and 2018</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(Amounts in dollars,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gridSpan w:val="4"/>
          </w:tcPr>
          <w:p>
            <w:pPr>
              <w:jc w:val="right"/>
              <w:ind w:right="6"/>
              <w:spacing w:after="0" w:line="162" w:lineRule="exact"/>
              <w:rPr>
                <w:sz w:val="20"/>
                <w:szCs w:val="20"/>
                <w:color w:val="auto"/>
              </w:rPr>
            </w:pPr>
            <w:r>
              <w:rPr>
                <w:rFonts w:ascii="Times New Roman" w:cs="Times New Roman" w:eastAsia="Times New Roman" w:hAnsi="Times New Roman"/>
                <w:sz w:val="15"/>
                <w:szCs w:val="15"/>
                <w:b w:val="1"/>
                <w:bCs w:val="1"/>
                <w:color w:val="auto"/>
              </w:rPr>
              <w:t>Series A</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Series B</w:t>
            </w:r>
          </w:p>
        </w:tc>
        <w:tc>
          <w:tcPr>
            <w:tcW w:w="98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Series C</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w w:val="95"/>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6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160" w:type="dxa"/>
            <w:vAlign w:val="bottom"/>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Preferred Stock</w:t>
            </w:r>
          </w:p>
        </w:tc>
        <w:tc>
          <w:tcPr>
            <w:tcW w:w="160" w:type="dxa"/>
            <w:vAlign w:val="bottom"/>
          </w:tcPr>
          <w:p>
            <w:pPr>
              <w:spacing w:after="0"/>
              <w:rPr>
                <w:sz w:val="16"/>
                <w:szCs w:val="16"/>
                <w:color w:val="auto"/>
              </w:rPr>
            </w:pPr>
          </w:p>
        </w:tc>
        <w:tc>
          <w:tcPr>
            <w:tcW w:w="1380" w:type="dxa"/>
            <w:vAlign w:val="bottom"/>
            <w:tcBorders>
              <w:bottom w:val="single" w:sz="8" w:color="auto"/>
            </w:tcBorders>
            <w:gridSpan w:val="5"/>
          </w:tcPr>
          <w:p>
            <w:pPr>
              <w:jc w:val="right"/>
              <w:ind w:right="92"/>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160" w:type="dxa"/>
            <w:vAlign w:val="bottom"/>
          </w:tcPr>
          <w:p>
            <w:pPr>
              <w:spacing w:after="0"/>
              <w:rPr>
                <w:sz w:val="16"/>
                <w:szCs w:val="16"/>
                <w:color w:val="auto"/>
              </w:rPr>
            </w:pPr>
          </w:p>
        </w:tc>
        <w:tc>
          <w:tcPr>
            <w:tcW w:w="14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4"/>
              </w:rPr>
              <w:t>Treasury</w:t>
            </w:r>
          </w:p>
        </w:tc>
        <w:tc>
          <w:tcPr>
            <w:tcW w:w="9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4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4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40" w:type="dxa"/>
            <w:vAlign w:val="bottom"/>
          </w:tcPr>
          <w:p>
            <w:pPr>
              <w:spacing w:after="0"/>
              <w:rPr>
                <w:sz w:val="19"/>
                <w:szCs w:val="19"/>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500,000</w:t>
            </w:r>
          </w:p>
        </w:tc>
        <w:tc>
          <w:tcPr>
            <w:tcW w:w="3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w:t>
            </w:r>
          </w:p>
        </w:tc>
        <w:tc>
          <w:tcPr>
            <w:tcW w:w="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3,663,077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3,700</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2,318,012</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2,300</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2,623,145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2,600</w:t>
            </w:r>
          </w:p>
        </w:tc>
        <w:tc>
          <w:tcPr>
            <w:tcW w:w="1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7"/>
              </w:rPr>
              <w:t>$132,725,000$(3,968,100)</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9"/>
              </w:rPr>
              <w:t>$(131,743,200)</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5"/>
              </w:rPr>
              <w:t>$(2,977,200)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Proceeds from sale of</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B Preferred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Units for cash under</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B Preferred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 Private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Placement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39,714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Proceeds from sale of</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and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for cash in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2016 Public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2,570,040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2,600</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9,534,500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9,537,100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Proceeds from sale of</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 for cash in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placement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124,250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Series B Preferred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converted to common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automatically</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upon consummation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May 2016 Public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 and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voluntarily</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3"/>
              </w:rPr>
              <w:t>(2,542,551)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2,542,551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 issued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dividends upon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Series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 Preferred</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453,154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1,768,300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1,768,800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Accrued dividends on</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B Preferred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5"/>
              </w:rPr>
              <w:t>(1,257,000)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0"/>
              </w:rPr>
              <w:t>(1,257,000)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Share-based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851,300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Exchange of</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warrants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common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other warrant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modifications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427,300</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427,500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Fair value of common</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and warrants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 for services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1,879,900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1,880,400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loss for fiscal year</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ended March 31,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0"/>
              </w:rPr>
              <w:t>(10,255,500)</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1"/>
              </w:rPr>
              <w:t>(10,255,500)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7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500,000</w:t>
            </w:r>
          </w:p>
        </w:tc>
        <w:tc>
          <w:tcPr>
            <w:tcW w:w="3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w:t>
            </w:r>
          </w:p>
        </w:tc>
        <w:tc>
          <w:tcPr>
            <w:tcW w:w="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1,160,240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1,200</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2,318,012</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2,300</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8,974,386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7"/>
              </w:rPr>
              <w:t>$146,569,600$(3,968,100)</w:t>
            </w:r>
          </w:p>
        </w:tc>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79"/>
              </w:rPr>
              <w:t>$(141,998,700)</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$ 615,800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Proceeds from sale of</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 for cash in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2017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Offering,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underwriting</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discount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1,371,430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2,023,000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Proceeds from sale of</w:t>
            </w:r>
          </w:p>
        </w:tc>
        <w:tc>
          <w:tcPr>
            <w:tcW w:w="68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40"/>
              <w:spacing w:after="0" w:line="201" w:lineRule="exact"/>
              <w:rPr>
                <w:sz w:val="20"/>
                <w:szCs w:val="20"/>
                <w:color w:val="auto"/>
              </w:rPr>
            </w:pPr>
            <w:r>
              <w:rPr>
                <w:rFonts w:ascii="Times New Roman" w:cs="Times New Roman" w:eastAsia="Times New Roman" w:hAnsi="Times New Roman"/>
                <w:sz w:val="18"/>
                <w:szCs w:val="18"/>
                <w:color w:val="auto"/>
              </w:rPr>
              <w:t>10,000,000</w:t>
            </w:r>
          </w:p>
        </w:tc>
        <w:tc>
          <w:tcPr>
            <w:tcW w:w="58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w w:val="96"/>
              </w:rPr>
              <w:t>10,000</w:t>
            </w:r>
          </w:p>
        </w:tc>
        <w:tc>
          <w:tcPr>
            <w:tcW w:w="960" w:type="dxa"/>
            <w:vAlign w:val="bottom"/>
            <w:gridSpan w:val="3"/>
          </w:tcPr>
          <w:p>
            <w:pPr>
              <w:ind w:left="140"/>
              <w:spacing w:after="0" w:line="201" w:lineRule="exact"/>
              <w:rPr>
                <w:sz w:val="20"/>
                <w:szCs w:val="20"/>
                <w:color w:val="auto"/>
              </w:rPr>
            </w:pPr>
            <w:r>
              <w:rPr>
                <w:rFonts w:ascii="Times New Roman" w:cs="Times New Roman" w:eastAsia="Times New Roman" w:hAnsi="Times New Roman"/>
                <w:sz w:val="18"/>
                <w:szCs w:val="18"/>
                <w:color w:val="auto"/>
                <w:w w:val="98"/>
              </w:rPr>
              <w:t>13,614,000</w:t>
            </w:r>
          </w:p>
        </w:tc>
        <w:tc>
          <w:tcPr>
            <w:tcW w:w="820" w:type="dxa"/>
            <w:vAlign w:val="bottom"/>
            <w:gridSpan w:val="2"/>
          </w:tcPr>
          <w:p>
            <w:pPr>
              <w:jc w:val="right"/>
              <w:ind w:right="1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60" w:type="dxa"/>
            <w:vAlign w:val="bottom"/>
            <w:gridSpan w:val="3"/>
          </w:tcPr>
          <w:p>
            <w:pPr>
              <w:ind w:left="80"/>
              <w:spacing w:after="0" w:line="201" w:lineRule="exact"/>
              <w:rPr>
                <w:sz w:val="20"/>
                <w:szCs w:val="20"/>
                <w:color w:val="auto"/>
              </w:rPr>
            </w:pPr>
            <w:r>
              <w:rPr>
                <w:rFonts w:ascii="Times New Roman" w:cs="Times New Roman" w:eastAsia="Times New Roman" w:hAnsi="Times New Roman"/>
                <w:sz w:val="18"/>
                <w:szCs w:val="18"/>
                <w:color w:val="auto"/>
                <w:w w:val="93"/>
              </w:rPr>
              <w:t>13,624,000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and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for cash in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2017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Offering, net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41" w:orient="portrait"/>
          <w:cols w:equalWidth="0" w:num="1">
            <w:col w:w="11500"/>
          </w:cols>
          <w:pgMar w:left="240" w:top="126" w:right="159" w:bottom="0" w:gutter="0" w:footer="0" w:header="0"/>
        </w:sectPr>
      </w:pPr>
    </w:p>
    <w:bookmarkStart w:id="70" w:name="page71"/>
    <w:bookmarkEnd w:id="70"/>
    <w:p>
      <w:pPr>
        <w:ind w:left="180"/>
        <w:spacing w:after="0"/>
        <w:rPr>
          <w:sz w:val="20"/>
          <w:szCs w:val="20"/>
          <w:color w:val="auto"/>
        </w:rPr>
      </w:pPr>
      <w:r>
        <w:rPr>
          <w:rFonts w:ascii="Times New Roman" w:cs="Times New Roman" w:eastAsia="Times New Roman" w:hAnsi="Times New Roman"/>
          <w:sz w:val="18"/>
          <w:szCs w:val="18"/>
          <w:color w:val="auto"/>
        </w:rPr>
        <w:t>of underwriting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discount and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expenses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and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 for cash in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private placement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offerings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616,323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1,072,600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1,073,200</w:t>
            </w: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Proceeds from exercise</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warrants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503,641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Accrued dividends on</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B Preferred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(1,030,400)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0"/>
              </w:rPr>
              <w:t>(1,030,400)</w:t>
            </w: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Stock-based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2,344,100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2,344,100</w:t>
            </w: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Fair value of common</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granted for</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1,102,500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1,100</w:t>
            </w:r>
          </w:p>
        </w:tc>
        <w:tc>
          <w:tcPr>
            <w:tcW w:w="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1,732,100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1,733,200</w:t>
            </w: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Fair value of common</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granted in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of</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584,500</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585,000</w:t>
            </w: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Increase in fair value</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attributable to</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modifications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292,700</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292,700</w:t>
            </w:r>
          </w:p>
        </w:tc>
      </w:tr>
      <w:tr>
        <w:trPr>
          <w:trHeight w:val="202"/>
        </w:trPr>
        <w:tc>
          <w:tcPr>
            <w:tcW w:w="20" w:type="dxa"/>
            <w:vAlign w:val="bottom"/>
          </w:tcPr>
          <w:p>
            <w:pPr>
              <w:spacing w:after="0"/>
              <w:rPr>
                <w:sz w:val="17"/>
                <w:szCs w:val="17"/>
                <w:color w:val="auto"/>
              </w:rPr>
            </w:pPr>
          </w:p>
        </w:tc>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Deemed dividend from</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trigger of down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round provision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feature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199,200</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(199,200)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Pr>
          <w:p>
            <w:pPr>
              <w:spacing w:after="0"/>
              <w:rPr>
                <w:sz w:val="17"/>
                <w:szCs w:val="17"/>
                <w:color w:val="auto"/>
              </w:rPr>
            </w:pPr>
          </w:p>
        </w:tc>
        <w:tc>
          <w:tcPr>
            <w:tcW w:w="17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loss for the fiscal</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 ended March 31,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3"/>
              </w:rPr>
              <w:t>(14,345,900)</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1"/>
              </w:rPr>
              <w:t>(14,345,900)</w:t>
            </w: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178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3"/>
        </w:trPr>
        <w:tc>
          <w:tcPr>
            <w:tcW w:w="20" w:type="dxa"/>
            <w:vAlign w:val="bottom"/>
          </w:tcPr>
          <w:p>
            <w:pPr>
              <w:spacing w:after="0"/>
              <w:rPr>
                <w:sz w:val="21"/>
                <w:szCs w:val="21"/>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500,000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1,160,240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1,200</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2,318,012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2,300</w:t>
            </w:r>
          </w:p>
        </w:tc>
        <w:tc>
          <w:tcPr>
            <w:tcW w:w="14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23,068,280$ 23,100</w:t>
            </w:r>
          </w:p>
        </w:tc>
        <w:tc>
          <w:tcPr>
            <w:tcW w:w="17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0"/>
              </w:rPr>
              <w:t>$</w:t>
            </w:r>
            <w:r>
              <w:rPr>
                <w:rFonts w:ascii="Times New Roman" w:cs="Times New Roman" w:eastAsia="Times New Roman" w:hAnsi="Times New Roman"/>
                <w:sz w:val="18"/>
                <w:szCs w:val="18"/>
                <w:b w:val="1"/>
                <w:bCs w:val="1"/>
                <w:color w:val="auto"/>
                <w:w w:val="90"/>
              </w:rPr>
              <w:t>167,401,400</w:t>
            </w:r>
            <w:r>
              <w:rPr>
                <w:rFonts w:ascii="Times New Roman" w:cs="Times New Roman" w:eastAsia="Times New Roman" w:hAnsi="Times New Roman"/>
                <w:sz w:val="18"/>
                <w:szCs w:val="18"/>
                <w:b w:val="1"/>
                <w:bCs w:val="1"/>
                <w:u w:val="single" w:color="auto"/>
                <w:color w:val="auto"/>
                <w:w w:val="90"/>
              </w:rPr>
              <w:t>$</w:t>
            </w:r>
            <w:r>
              <w:rPr>
                <w:rFonts w:ascii="Times New Roman" w:cs="Times New Roman" w:eastAsia="Times New Roman" w:hAnsi="Times New Roman"/>
                <w:sz w:val="18"/>
                <w:szCs w:val="18"/>
                <w:b w:val="1"/>
                <w:bCs w:val="1"/>
                <w:color w:val="auto"/>
                <w:w w:val="90"/>
              </w:rPr>
              <w:t>(3,968,100)</w:t>
            </w:r>
          </w:p>
        </w:tc>
        <w:tc>
          <w:tcPr>
            <w:tcW w:w="1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w w:val="86"/>
              </w:rPr>
              <w:t>$</w:t>
            </w:r>
            <w:r>
              <w:rPr>
                <w:rFonts w:ascii="Times New Roman" w:cs="Times New Roman" w:eastAsia="Times New Roman" w:hAnsi="Times New Roman"/>
                <w:sz w:val="18"/>
                <w:szCs w:val="18"/>
                <w:b w:val="1"/>
                <w:bCs w:val="1"/>
                <w:color w:val="auto"/>
                <w:w w:val="86"/>
              </w:rPr>
              <w:t>(156,543,800)</w:t>
            </w:r>
            <w:r>
              <w:rPr>
                <w:rFonts w:ascii="Times New Roman" w:cs="Times New Roman" w:eastAsia="Times New Roman" w:hAnsi="Times New Roman"/>
                <w:sz w:val="18"/>
                <w:szCs w:val="18"/>
                <w:b w:val="1"/>
                <w:bCs w:val="1"/>
                <w:u w:val="single" w:color="auto"/>
                <w:color w:val="auto"/>
                <w:w w:val="86"/>
              </w:rPr>
              <w:t>$</w:t>
            </w:r>
            <w:r>
              <w:rPr>
                <w:rFonts w:ascii="Times New Roman" w:cs="Times New Roman" w:eastAsia="Times New Roman" w:hAnsi="Times New Roman"/>
                <w:sz w:val="18"/>
                <w:szCs w:val="18"/>
                <w:b w:val="1"/>
                <w:bCs w:val="1"/>
                <w:color w:val="auto"/>
                <w:w w:val="86"/>
              </w:rPr>
              <w:t>6,916,600</w:t>
            </w: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right="9440" w:firstLine="8"/>
        <w:spacing w:after="0" w:line="502" w:lineRule="auto"/>
        <w:tabs>
          <w:tab w:leader="none" w:pos="2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Overview</w:t>
      </w:r>
    </w:p>
    <w:p>
      <w:pPr>
        <w:jc w:val="both"/>
        <w:spacing w:after="0" w:line="275" w:lineRule="auto"/>
        <w:rPr>
          <w:sz w:val="20"/>
          <w:szCs w:val="20"/>
          <w:color w:val="auto"/>
        </w:rPr>
      </w:pPr>
      <w:r>
        <w:rPr>
          <w:rFonts w:ascii="Times New Roman" w:cs="Times New Roman" w:eastAsia="Times New Roman" w:hAnsi="Times New Roman"/>
          <w:sz w:val="18"/>
          <w:szCs w:val="18"/>
          <w:color w:val="auto"/>
        </w:rPr>
        <w:t>VistaGen Therapeutics. Inc., a Nevada corporation, is a clinical-stage biopharmaceutical company focused on developing new generation medicines for depression and other diseases and disorders of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with high unmet need.</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lead CNS product candidate, AV-101, is an oral, non-opioid and non-sedating therapy that we believe offers the potential to be a new at-home treatment for multiple CNS indications with high unmet medical need. These indications include potential use as a new generation treatment alternative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as a non-addictive, non-sedating option for management of chronic neuropathic pain (</w:t>
      </w:r>
      <w:r>
        <w:rPr>
          <w:rFonts w:ascii="Times New Roman" w:cs="Times New Roman" w:eastAsia="Times New Roman" w:hAnsi="Times New Roman"/>
          <w:sz w:val="18"/>
          <w:szCs w:val="18"/>
          <w:i w:val="1"/>
          <w:iCs w:val="1"/>
          <w:color w:val="auto"/>
        </w:rPr>
        <w:t>CNP</w:t>
      </w:r>
      <w:r>
        <w:rPr>
          <w:rFonts w:ascii="Times New Roman" w:cs="Times New Roman" w:eastAsia="Times New Roman" w:hAnsi="Times New Roman"/>
          <w:sz w:val="18"/>
          <w:szCs w:val="18"/>
          <w:color w:val="auto"/>
        </w:rPr>
        <w:t>), to reduce dyskinesia induced by levodopa therapy for Parkinson’s disease (</w:t>
      </w:r>
      <w:r>
        <w:rPr>
          <w:rFonts w:ascii="Times New Roman" w:cs="Times New Roman" w:eastAsia="Times New Roman" w:hAnsi="Times New Roman"/>
          <w:sz w:val="18"/>
          <w:szCs w:val="18"/>
          <w:i w:val="1"/>
          <w:iCs w:val="1"/>
          <w:color w:val="auto"/>
        </w:rPr>
        <w:t>PD LID</w:t>
      </w:r>
      <w:r>
        <w:rPr>
          <w:rFonts w:ascii="Times New Roman" w:cs="Times New Roman" w:eastAsia="Times New Roman" w:hAnsi="Times New Roman"/>
          <w:sz w:val="18"/>
          <w:szCs w:val="18"/>
          <w:color w:val="auto"/>
        </w:rPr>
        <w:t xml:space="preserve">), and additional CNS indications </w:t>
      </w:r>
      <w:r>
        <w:rPr>
          <w:rFonts w:ascii="Times New Roman" w:cs="Times New Roman" w:eastAsia="Times New Roman" w:hAnsi="Times New Roman"/>
          <w:sz w:val="18"/>
          <w:szCs w:val="18"/>
          <w:color w:val="333333"/>
        </w:rPr>
        <w:t>where modulation of NMDA (N-methyl-D-aspartate) receptor and AMPA (alpha-amino-3-hydroxy-5-methyl-4-isoxazolepropionic acid) receptor pathways may achieve therapeutic benefit.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MDD, we believe AV-101 has potential as a first line oral monotherapy and as an adjunctive oral therapy. As an adjunctive therapy, we believe AV-101 has potential both to displace atypical antipsychotics such as aripiprazole in the current MDD drug treatment paradigm both for patients with an inadequate response to current antidepressants approved by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to prevent relapse of MDD following successful treatment with the FDA-approved anesthetic, ketamine hydrochloride, an ion-channel blocking NDMA receptor antagonist (</w:t>
      </w:r>
      <w:r>
        <w:rPr>
          <w:rFonts w:ascii="Times New Roman" w:cs="Times New Roman" w:eastAsia="Times New Roman" w:hAnsi="Times New Roman"/>
          <w:sz w:val="18"/>
          <w:szCs w:val="18"/>
          <w:i w:val="1"/>
          <w:iCs w:val="1"/>
          <w:color w:val="auto"/>
        </w:rPr>
        <w:t>ketamine</w:t>
      </w:r>
      <w:r>
        <w:rPr>
          <w:rFonts w:ascii="Times New Roman" w:cs="Times New Roman" w:eastAsia="Times New Roman" w:hAnsi="Times New Roman"/>
          <w:sz w:val="18"/>
          <w:szCs w:val="18"/>
          <w:color w:val="auto"/>
        </w:rPr>
        <w:t>), whether administered by intravenous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injection or as an intranasal spray formulation. We believe AV-101 may have potential to deliver ketamine-like antidepressant effects on an at-home basis, without the requirement for inconvenient administration in a medical setting, and without causing psychological or other side effects and safety concerns associated with ketamine therapy.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AV-101 is in Phase 2 development in the United States. In the fourth quarter of 2017, we received authorization from the FDA to initiate ELEVATE, our Phase 2 multi-center, multi-dose, double blind, placebo-controlled clinical study to evaluate the efficacy and safety of AV-101 as an adjunctive treatment of MDD in adult patients with an inadequate therapeutic response to current FDA-approved antidepressants (the </w:t>
      </w:r>
      <w:r>
        <w:rPr>
          <w:rFonts w:ascii="Times New Roman" w:cs="Times New Roman" w:eastAsia="Times New Roman" w:hAnsi="Times New Roman"/>
          <w:sz w:val="18"/>
          <w:szCs w:val="18"/>
          <w:i w:val="1"/>
          <w:iCs w:val="1"/>
          <w:color w:val="auto"/>
        </w:rPr>
        <w:t>ELEVATE Study</w:t>
      </w:r>
      <w:r>
        <w:rPr>
          <w:rFonts w:ascii="Times New Roman" w:cs="Times New Roman" w:eastAsia="Times New Roman" w:hAnsi="Times New Roman"/>
          <w:sz w:val="18"/>
          <w:szCs w:val="18"/>
          <w:color w:val="auto"/>
        </w:rPr>
        <w:t>). As planned, we initiated the ELEVATE Study in the first quarter of 2018. Dr. Maurizio Fava, Professor of Psychiatry at Harvard Medical School and Director, Division of Clinical Research, Massachusetts General Hospital (</w:t>
      </w:r>
      <w:r>
        <w:rPr>
          <w:rFonts w:ascii="Times New Roman" w:cs="Times New Roman" w:eastAsia="Times New Roman" w:hAnsi="Times New Roman"/>
          <w:sz w:val="18"/>
          <w:szCs w:val="18"/>
          <w:i w:val="1"/>
          <w:iCs w:val="1"/>
          <w:color w:val="auto"/>
        </w:rPr>
        <w:t>MGH</w:t>
      </w:r>
      <w:r>
        <w:rPr>
          <w:rFonts w:ascii="Times New Roman" w:cs="Times New Roman" w:eastAsia="Times New Roman" w:hAnsi="Times New Roman"/>
          <w:sz w:val="18"/>
          <w:szCs w:val="18"/>
          <w:color w:val="auto"/>
        </w:rPr>
        <w:t xml:space="preserve">) Research Institute, is the Principal Investigator of the ELEVATE Study assisting our internal team, which is led by Mark Smith, MD, PhD, our Chief Medical Officer. Dr. Fava was the co-Principal Investigator with Dr. A. John Rush of the STAR*D study, the largest clinical trial conducted in depression to date, whose findings were published in journals such as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NEJM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JAMA</w:t>
      </w:r>
      <w:r>
        <w:rPr>
          <w:rFonts w:ascii="Times New Roman" w:cs="Times New Roman" w:eastAsia="Times New Roman" w:hAnsi="Times New Roman"/>
          <w:sz w:val="18"/>
          <w:szCs w:val="18"/>
          <w:color w:val="auto"/>
        </w:rPr>
        <w:t>). We currently anticipate top line results from the ELEVATE Study in the first half of 2019.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AV-101 is also in the subject of a small Phase 2 clinical study being conducted and funded by the U.S. National Institute of Mental Health (the </w:t>
      </w:r>
      <w:r>
        <w:rPr>
          <w:rFonts w:ascii="Times New Roman" w:cs="Times New Roman" w:eastAsia="Times New Roman" w:hAnsi="Times New Roman"/>
          <w:sz w:val="18"/>
          <w:szCs w:val="18"/>
          <w:i w:val="1"/>
          <w:iCs w:val="1"/>
          <w:color w:val="auto"/>
        </w:rPr>
        <w:t>NIMH</w:t>
      </w:r>
      <w:r>
        <w:rPr>
          <w:rFonts w:ascii="Times New Roman" w:cs="Times New Roman" w:eastAsia="Times New Roman" w:hAnsi="Times New Roman"/>
          <w:sz w:val="18"/>
          <w:szCs w:val="18"/>
          <w:color w:val="auto"/>
        </w:rPr>
        <w:t>), pursuant to our Cooperative Research and Development Agreement (</w:t>
      </w:r>
      <w:r>
        <w:rPr>
          <w:rFonts w:ascii="Times New Roman" w:cs="Times New Roman" w:eastAsia="Times New Roman" w:hAnsi="Times New Roman"/>
          <w:sz w:val="18"/>
          <w:szCs w:val="18"/>
          <w:i w:val="1"/>
          <w:iCs w:val="1"/>
          <w:color w:val="auto"/>
        </w:rPr>
        <w:t>CRADA</w:t>
      </w:r>
      <w:r>
        <w:rPr>
          <w:rFonts w:ascii="Times New Roman" w:cs="Times New Roman" w:eastAsia="Times New Roman" w:hAnsi="Times New Roman"/>
          <w:sz w:val="18"/>
          <w:szCs w:val="18"/>
          <w:color w:val="auto"/>
        </w:rPr>
        <w:t xml:space="preserve">) with the NIMH (the </w:t>
      </w:r>
      <w:r>
        <w:rPr>
          <w:rFonts w:ascii="Times New Roman" w:cs="Times New Roman" w:eastAsia="Times New Roman" w:hAnsi="Times New Roman"/>
          <w:sz w:val="18"/>
          <w:szCs w:val="18"/>
          <w:i w:val="1"/>
          <w:iCs w:val="1"/>
          <w:color w:val="auto"/>
        </w:rPr>
        <w:t>NIMH Study</w:t>
      </w:r>
      <w:r>
        <w:rPr>
          <w:rFonts w:ascii="Times New Roman" w:cs="Times New Roman" w:eastAsia="Times New Roman" w:hAnsi="Times New Roman"/>
          <w:sz w:val="18"/>
          <w:szCs w:val="18"/>
          <w:color w:val="auto"/>
        </w:rPr>
        <w:t>). Dr. Carlos Zarate, Jr., Chief of the NIMH’s Experimental Therapeutics &amp; Pathophysiology Branch and its Section on Neurobiology and Treatment of Mood and Anxiety Disorders, is acting as the Principal Investigator for the NIMH Study, which is focused on AV-101 monotherapy for subjects with treatment-resistant MDD and certain biomarkers. Dr. Zarate and the NIMH were among the first in the U.S. to conduct clinical studies demonstrating the robust, fast-acting antidepressant effects of ketamine in MDD patients with inadequate responses to multiple current FDA-approved antidepressants.</w:t>
      </w:r>
    </w:p>
    <w:p>
      <w:pPr>
        <w:spacing w:after="0" w:line="1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In addition to our CNS business, we have two additional programs through our wholly-owned subsidiary VistaGen Therapeutics, Inc., a California corporation, dba VistaStem Therapeutics (</w:t>
      </w:r>
      <w:r>
        <w:rPr>
          <w:rFonts w:ascii="Times New Roman" w:cs="Times New Roman" w:eastAsia="Times New Roman" w:hAnsi="Times New Roman"/>
          <w:sz w:val="16"/>
          <w:szCs w:val="16"/>
          <w:i w:val="1"/>
          <w:iCs w:val="1"/>
          <w:color w:val="auto"/>
        </w:rPr>
        <w:t>VistaStem</w:t>
      </w:r>
      <w:r>
        <w:rPr>
          <w:rFonts w:ascii="Times New Roman" w:cs="Times New Roman" w:eastAsia="Times New Roman" w:hAnsi="Times New Roman"/>
          <w:sz w:val="16"/>
          <w:szCs w:val="16"/>
          <w:color w:val="auto"/>
        </w:rPr>
        <w:t>). VistaStem is focused on applying human pluripotent stem cell (</w:t>
      </w:r>
      <w:r>
        <w:rPr>
          <w:rFonts w:ascii="Times New Roman" w:cs="Times New Roman" w:eastAsia="Times New Roman" w:hAnsi="Times New Roman"/>
          <w:sz w:val="16"/>
          <w:szCs w:val="16"/>
          <w:i w:val="1"/>
          <w:iCs w:val="1"/>
          <w:color w:val="auto"/>
        </w:rPr>
        <w:t>hPSC</w:t>
      </w:r>
      <w:r>
        <w:rPr>
          <w:rFonts w:ascii="Times New Roman" w:cs="Times New Roman" w:eastAsia="Times New Roman" w:hAnsi="Times New Roman"/>
          <w:sz w:val="16"/>
          <w:szCs w:val="16"/>
          <w:color w:val="auto"/>
        </w:rPr>
        <w:t>) technology to rescue, develop and commercialize</w:t>
      </w:r>
    </w:p>
    <w:p>
      <w:pPr>
        <w:spacing w:after="0" w:line="1" w:lineRule="exact"/>
        <w:rPr>
          <w:sz w:val="20"/>
          <w:szCs w:val="20"/>
          <w:color w:val="auto"/>
        </w:rPr>
      </w:pPr>
    </w:p>
    <w:p>
      <w:pPr>
        <w:jc w:val="both"/>
        <w:ind w:firstLine="8"/>
        <w:spacing w:after="0" w:line="252"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new chemical entities (</w:t>
      </w:r>
      <w:r>
        <w:rPr>
          <w:rFonts w:ascii="Times New Roman" w:cs="Times New Roman" w:eastAsia="Times New Roman" w:hAnsi="Times New Roman"/>
          <w:sz w:val="18"/>
          <w:szCs w:val="18"/>
          <w:i w:val="1"/>
          <w:iCs w:val="1"/>
          <w:color w:val="auto"/>
        </w:rPr>
        <w:t>NCEs</w:t>
      </w:r>
      <w:r>
        <w:rPr>
          <w:rFonts w:ascii="Times New Roman" w:cs="Times New Roman" w:eastAsia="Times New Roman" w:hAnsi="Times New Roman"/>
          <w:sz w:val="18"/>
          <w:szCs w:val="18"/>
          <w:color w:val="auto"/>
        </w:rPr>
        <w:t>) for CNS and other diseases and (ii) regenerative medicine (</w:t>
      </w:r>
      <w:r>
        <w:rPr>
          <w:rFonts w:ascii="Times New Roman" w:cs="Times New Roman" w:eastAsia="Times New Roman" w:hAnsi="Times New Roman"/>
          <w:sz w:val="18"/>
          <w:szCs w:val="18"/>
          <w:i w:val="1"/>
          <w:iCs w:val="1"/>
          <w:color w:val="auto"/>
        </w:rPr>
        <w:t>RM</w:t>
      </w:r>
      <w:r>
        <w:rPr>
          <w:rFonts w:ascii="Times New Roman" w:cs="Times New Roman" w:eastAsia="Times New Roman" w:hAnsi="Times New Roman"/>
          <w:sz w:val="18"/>
          <w:szCs w:val="18"/>
          <w:color w:val="auto"/>
        </w:rPr>
        <w:t xml:space="preserve">) involving hPSC-derived blood, cartilage, heart and liver cells. Our internal drug rescue programs are designed to utilize </w:t>
      </w:r>
      <w:r>
        <w:rPr>
          <w:rFonts w:ascii="Times New Roman" w:cs="Times New Roman" w:eastAsia="Times New Roman" w:hAnsi="Times New Roman"/>
          <w:sz w:val="18"/>
          <w:szCs w:val="18"/>
          <w:i w:val="1"/>
          <w:iCs w:val="1"/>
          <w:color w:val="auto"/>
        </w:rPr>
        <w:t>CardioSafe 3D</w:t>
      </w:r>
      <w:r>
        <w:rPr>
          <w:rFonts w:ascii="Times New Roman" w:cs="Times New Roman" w:eastAsia="Times New Roman" w:hAnsi="Times New Roman"/>
          <w:sz w:val="18"/>
          <w:szCs w:val="18"/>
          <w:color w:val="auto"/>
        </w:rPr>
        <w:t>, our customized cardiac bioassay system, to develop small molecule NCEs for our pipeline or out-licensing. To advance potential RM applications of VistaStem’s cardiac stem cell technology, we have exclusively sublicensed to BlueRock Therapeutics LP, a next generation cell therapy and RM company established in 2016 with $225 million of committed capital from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xml:space="preserve">), rights to certain proprietary technologies relating to the production of cardiac stem cells for the treatment of heart disease (the </w:t>
      </w:r>
      <w:r>
        <w:rPr>
          <w:rFonts w:ascii="Times New Roman" w:cs="Times New Roman" w:eastAsia="Times New Roman" w:hAnsi="Times New Roman"/>
          <w:sz w:val="18"/>
          <w:szCs w:val="18"/>
          <w:i w:val="1"/>
          <w:iCs w:val="1"/>
          <w:color w:val="auto"/>
        </w:rPr>
        <w:t>BlueRock Agreement</w:t>
      </w:r>
      <w:r>
        <w:rPr>
          <w:rFonts w:ascii="Times New Roman" w:cs="Times New Roman" w:eastAsia="Times New Roman" w:hAnsi="Times New Roman"/>
          <w:sz w:val="18"/>
          <w:szCs w:val="18"/>
          <w:color w:val="auto"/>
        </w:rPr>
        <w:t>). In a manner similar to the BlueRock Agreement, we may pursue additional VistaStem collaborations or licensing transactions involving blood, cartilage, and/or liver cells derived from hPSCs for cell-based therapy, cell repair therapy, RM and/or tissue engineering.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noted above, VistaStem is our wholly-owned subsidiary. Our Consolidated Financial Statements in this Annual Report on Form 10-K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Going Concern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recurring losses and negative cash flows from operations resulting in a deficit of $156.5 million accumulated from inception through March 31, 2018. We expect losses and negative cash flows from operations to continue for the foreseeable future as we engage in further potential development of AV-101, initially as an adjunctive treatment for MDD, and subsequently as a new treatment alternative for other CNS conditions, execute our drug rescue programs, and pursue potential drug development and regenerative medicine opportunities.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in May 1998 through March 31, 2018, we have financed our operations and technology acquisitions primarily through the issuance and sale of equity and debt securities, including convertible promissory notes and short-term promissory notes, for cash proceeds of approximately $61.4 million, as well as from an aggregate of approximately $17.6 million of government research grant awards (excluding the fair market value of the NIMH Study), strategic collaboration payments, intellectual property sublicensing and other revenues. Additionally, we have issued equity securities with an approximate value at issuance of $33.6 million in non-cash settlements of certain liabilities, including liabilities for professional services rendered to us or as compensation for such services.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2017, we completed an underwritten public offering of shares of our common stock and warrants to purchase shares of our common stock at a combined public offering price of $1.50 per share and related warrant under our Registration Statement on Form S-1 (Registration No. 333-221009), resulting in gross proceeds of $15.0 million (the </w:t>
      </w:r>
      <w:r>
        <w:rPr>
          <w:rFonts w:ascii="Times New Roman" w:cs="Times New Roman" w:eastAsia="Times New Roman" w:hAnsi="Times New Roman"/>
          <w:sz w:val="18"/>
          <w:szCs w:val="18"/>
          <w:i w:val="1"/>
          <w:iCs w:val="1"/>
          <w:color w:val="auto"/>
        </w:rPr>
        <w:t>December 2017 Public Offering</w:t>
      </w:r>
      <w:r>
        <w:rPr>
          <w:rFonts w:ascii="Times New Roman" w:cs="Times New Roman" w:eastAsia="Times New Roman" w:hAnsi="Times New Roman"/>
          <w:sz w:val="18"/>
          <w:szCs w:val="18"/>
          <w:color w:val="auto"/>
        </w:rPr>
        <w:t xml:space="preserve">). In September 2017, we completed an underwritten public offering pursuant to which we offered and sold shares of our common stock and warrants resulting in gross proceeds of approximately $2.4 million (the </w:t>
      </w:r>
      <w:r>
        <w:rPr>
          <w:rFonts w:ascii="Times New Roman" w:cs="Times New Roman" w:eastAsia="Times New Roman" w:hAnsi="Times New Roman"/>
          <w:sz w:val="18"/>
          <w:szCs w:val="18"/>
          <w:i w:val="1"/>
          <w:iCs w:val="1"/>
          <w:color w:val="auto"/>
        </w:rPr>
        <w:t>September 2017 Public Offering</w:t>
      </w:r>
      <w:r>
        <w:rPr>
          <w:rFonts w:ascii="Times New Roman" w:cs="Times New Roman" w:eastAsia="Times New Roman" w:hAnsi="Times New Roman"/>
          <w:sz w:val="18"/>
          <w:szCs w:val="18"/>
          <w:color w:val="auto"/>
        </w:rPr>
        <w:t xml:space="preserve">) under our Registration Statement on Form S-3 (Registration No. 333-215671) (the </w:t>
      </w:r>
      <w:r>
        <w:rPr>
          <w:rFonts w:ascii="Times New Roman" w:cs="Times New Roman" w:eastAsia="Times New Roman" w:hAnsi="Times New Roman"/>
          <w:sz w:val="18"/>
          <w:szCs w:val="18"/>
          <w:i w:val="1"/>
          <w:iCs w:val="1"/>
          <w:color w:val="auto"/>
        </w:rPr>
        <w:t>S-3 Registration Statement</w:t>
      </w:r>
      <w:r>
        <w:rPr>
          <w:rFonts w:ascii="Times New Roman" w:cs="Times New Roman" w:eastAsia="Times New Roman" w:hAnsi="Times New Roman"/>
          <w:sz w:val="18"/>
          <w:szCs w:val="18"/>
          <w:color w:val="auto"/>
        </w:rPr>
        <w:t xml:space="preserve">). (See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xml:space="preserve"> for additional information regarding the December 2017 Public Offering and the September 2017 Public Offering.) Subject to certain restrictions, the S-3 Registration Statement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March 31, 2018, we had a cash and cash equivalents balance of $10.4 million. This amount was not sufficient to enable us to fund our planned operations, including expected cash expenditures of approximately $13 million for the twelve months following the issuance of these financial statements, including expenditures required to satisfy a significant portion of the projected expenses associated with our ELEVATE Study.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position at March 31, 2018 considered with our recurring and anticipated losses, negative cash flows from operations and limited stockholders’ equity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potential sale of our equity securities, we may also seek to enter research and development collaborations that could generate revenue or provide funding for development of AV-101 and additional product candidates. We may also seek additional government grant awards or agreements similar to our current CRADA with the NIMH, which provides for the NIMH to fully fund the NIMH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future financing will be available in sufficient amounts, in a timely manner, or on terms acceptable to us, if at all. If we are unable to obtain substantial additional financing on a timely basis when needed in 2018 or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research and development expenses and the assumptions used to value warrants, warrant modifications and warrant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Company’s accounts, VistaStem’s accounts and the accounts of VistaStem’s two wholly-owned inactive subsidiaries, Artemis Neurosciences and VistaStem Canada. All material intercompany accounts and transactions have been eliminated in consolidation.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three to seven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generated revenue principally from collaborative research and development arrangements, licensing and technology transfer agreements, including strategic licenses or sublicenses, and government grants. Revenue arrangements with multiple components are divided into separate units of accounting if certain criteria are met, including whether the delivered component has stand-alone value to the customer or counterparty.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74" w:name="page75"/>
    <w:bookmarkEnd w:id="7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recognize revenue when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86" w:lineRule="exact"/>
        <w:rPr>
          <w:sz w:val="20"/>
          <w:szCs w:val="20"/>
          <w:color w:val="auto"/>
        </w:rPr>
      </w:pPr>
    </w:p>
    <w:p>
      <w:pPr>
        <w:jc w:val="both"/>
        <w:ind w:left="660" w:hanging="328"/>
        <w:spacing w:after="0" w:line="288"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Collaborative arrangements typically consist of non-refundable and/or exclusive up front technology access fees, cost reimbursements for specific research and development spending, and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389"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92"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our oral NMDAR GlyB antagonist product candidate in clinical development for MDD and potentially for other CNS indications, stem cell research and development costs, and costs related to the application and prosecution of patents related to AV-101 and our stem cell technology platform. All such costs are charged to expense as incurred. We also record accruals for estimated ongoing clinical trial costs. Clinical trial costs represent costs incurred by contract research organizations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compensation cost for all stock-based awards to employees and non-employee consultants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Compensatory grants of stock to non-employees are generally treated as fully-earned at the time of the grant and the non-cash expense recognized is based on the quoted market price of the stock on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75" w:name="page76"/>
    <w:bookmarkEnd w:id="7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use derivative instruments for hedging of market risks or for trading or speculative purposes. 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3" w:lineRule="exact"/>
        <w:rPr>
          <w:sz w:val="20"/>
          <w:szCs w:val="20"/>
          <w:color w:val="auto"/>
        </w:rPr>
      </w:pPr>
    </w:p>
    <w:p>
      <w:pPr>
        <w:ind w:left="660" w:right="400" w:hanging="328"/>
        <w:spacing w:after="0" w:line="277"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gives the highest priority to Level 1 inputs.</w:t>
      </w:r>
    </w:p>
    <w:p>
      <w:pPr>
        <w:spacing w:after="0" w:line="170" w:lineRule="exact"/>
        <w:rPr>
          <w:rFonts w:ascii="Times New Roman" w:cs="Times New Roman" w:eastAsia="Times New Roman" w:hAnsi="Times New Roman"/>
          <w:sz w:val="18"/>
          <w:szCs w:val="18"/>
          <w:color w:val="auto"/>
        </w:rPr>
      </w:pPr>
    </w:p>
    <w:p>
      <w:pPr>
        <w:jc w:val="both"/>
        <w:ind w:left="660" w:right="160" w:hanging="328"/>
        <w:spacing w:after="0" w:line="26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that are observable or can be corroborated by observable market data for substantially the full term of the assets or liabilities.</w:t>
      </w:r>
    </w:p>
    <w:p>
      <w:pPr>
        <w:spacing w:after="0" w:line="181" w:lineRule="exact"/>
        <w:rPr>
          <w:rFonts w:ascii="Times New Roman" w:cs="Times New Roman" w:eastAsia="Times New Roman" w:hAnsi="Times New Roman"/>
          <w:sz w:val="18"/>
          <w:szCs w:val="18"/>
          <w:color w:val="auto"/>
        </w:rPr>
      </w:pPr>
    </w:p>
    <w:p>
      <w:pPr>
        <w:jc w:val="both"/>
        <w:ind w:left="660" w:right="20" w:hanging="328"/>
        <w:spacing w:after="0" w:line="26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w:t>
      </w:r>
      <w:r>
        <w:rPr>
          <w:rFonts w:ascii="Times New Roman" w:cs="Times New Roman" w:eastAsia="Times New Roman" w:hAnsi="Times New Roman"/>
          <w:sz w:val="18"/>
          <w:szCs w:val="18"/>
          <w:i w:val="1"/>
          <w:iCs w:val="1"/>
          <w:color w:val="auto"/>
        </w:rPr>
        <w:t xml:space="preserve">i.e., </w:t>
      </w:r>
      <w:r>
        <w:rPr>
          <w:rFonts w:ascii="Times New Roman" w:cs="Times New Roman" w:eastAsia="Times New Roman" w:hAnsi="Times New Roman"/>
          <w:sz w:val="18"/>
          <w:szCs w:val="18"/>
          <w:color w:val="auto"/>
        </w:rPr>
        <w:t>inputs that reflect the reporting entity’s own assumptions about the assumptions that market participants would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estimating the fair value of an asset or liability) are used when little or no market data is available. The fair value hierarchy gives the lowest priority to Level 3 inputs.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carried no assets or liabilities at fair value at March 31, 2018 or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Equity 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no components of other comprehensive loss other than net loss, and accordingly our comprehensive loss is equivalent to our net loss for the periods presented.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Common Share Attributable to Common Stockholders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Basic net loss attributable to common stockholders per share of common stock excludes the effect of dilution and is computed by dividing net loss increased by the accrual for dividends on our Series B Preferred and, for the fiscal year ended March 31, 2018, the deemed dividend attributable to the trigger of a down-round provision feature, and, for the fiscal year ended March 31, 2017 (refer to Note 7,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for a description of these adjustments), the deemed dividend attributable to the issuance of our Series B Preferred Units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76" w:name="page77"/>
    <w:bookmarkEnd w:id="7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a result of our net loss for both years presented, potentially dilutive securities were excluded from the computation of diluted loss per share, as their effect would be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share was computed as follows:</w:t>
      </w:r>
    </w:p>
    <w:p>
      <w:pPr>
        <w:spacing w:after="0" w:line="27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4445</wp:posOffset>
            </wp:positionV>
            <wp:extent cx="15608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6"/>
                <w:szCs w:val="16"/>
                <w:color w:val="auto"/>
              </w:rPr>
            </w:pPr>
          </w:p>
        </w:tc>
      </w:tr>
      <w:tr>
        <w:trPr>
          <w:trHeight w:val="242"/>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2"/>
        </w:trPr>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attributable to common stockholders for basic and diluted earnings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59"/>
        </w:trPr>
        <w:tc>
          <w:tcPr>
            <w:tcW w:w="8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per share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(15,575,500)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(11,623,600)</w:t>
            </w:r>
          </w:p>
        </w:tc>
      </w:tr>
      <w:tr>
        <w:trPr>
          <w:trHeight w:val="425"/>
        </w:trPr>
        <w:tc>
          <w:tcPr>
            <w:tcW w:w="870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258"/>
        </w:trPr>
        <w:tc>
          <w:tcPr>
            <w:tcW w:w="8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Weighted average basic and diluted common shares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13,890,041</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attributable to common stockholders per common share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dilutive securities excluded in determining diluted net loss per common share for the fiscal years ended March 31, 2018 and 2017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00" w:type="dxa"/>
            <w:vAlign w:val="bottom"/>
            <w:gridSpan w:val="4"/>
          </w:tcPr>
          <w:p>
            <w:pPr>
              <w:ind w:left="720"/>
              <w:spacing w:after="0"/>
              <w:rPr>
                <w:sz w:val="20"/>
                <w:szCs w:val="20"/>
                <w:color w:val="auto"/>
              </w:rPr>
            </w:pPr>
            <w:r>
              <w:rPr>
                <w:rFonts w:ascii="Times New Roman" w:cs="Times New Roman" w:eastAsia="Times New Roman" w:hAnsi="Times New Roman"/>
                <w:sz w:val="15"/>
                <w:szCs w:val="15"/>
                <w:b w:val="1"/>
                <w:bCs w:val="1"/>
                <w:color w:val="auto"/>
              </w:rPr>
              <w:t>As of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36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stock issued and outstanding </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B Preferred stock issued and outstanding </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C Preferred stock issued and outstanding </w:t>
            </w:r>
            <w:r>
              <w:rPr>
                <w:rFonts w:ascii="Times New Roman" w:cs="Times New Roman" w:eastAsia="Times New Roman" w:hAnsi="Times New Roman"/>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Outstanding options under the Amended and Restated 2016 (formerly 2008) and 1999 Stock Incentive Plans (1999 Plan in</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only)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5,300,338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16,603,516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4,577,631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26,132,106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10,465,207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8820" w:type="dxa"/>
            <w:vAlign w:val="bottom"/>
            <w:gridSpan w:val="2"/>
          </w:tcPr>
          <w:p>
            <w:pPr>
              <w:jc w:val="right"/>
              <w:ind w:right="7572"/>
              <w:spacing w:after="0"/>
              <w:rPr>
                <w:sz w:val="20"/>
                <w:szCs w:val="20"/>
                <w:color w:val="auto"/>
              </w:rPr>
            </w:pPr>
            <w:r>
              <w:rPr>
                <w:rFonts w:ascii="Times New Roman" w:cs="Times New Roman" w:eastAsia="Times New Roman" w:hAnsi="Times New Roman"/>
                <w:sz w:val="18"/>
                <w:szCs w:val="18"/>
                <w:color w:val="auto"/>
              </w:rPr>
              <w:t>____________</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0" w:hanging="190"/>
        <w:spacing w:after="0" w:line="187" w:lineRule="auto"/>
        <w:tabs>
          <w:tab w:leader="none" w:pos="36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Assumes exchange under the terms of the October 11, 2012 Note Exchange and Purchase Agreement, as amended</w:t>
      </w:r>
    </w:p>
    <w:p>
      <w:pPr>
        <w:spacing w:after="0" w:line="8" w:lineRule="exact"/>
        <w:rPr>
          <w:rFonts w:ascii="Times New Roman" w:cs="Times New Roman" w:eastAsia="Times New Roman" w:hAnsi="Times New Roman"/>
          <w:sz w:val="24"/>
          <w:szCs w:val="24"/>
          <w:color w:val="auto"/>
          <w:vertAlign w:val="superscript"/>
        </w:rPr>
      </w:pPr>
    </w:p>
    <w:p>
      <w:pPr>
        <w:ind w:left="180" w:right="20" w:hanging="10"/>
        <w:spacing w:after="0" w:line="206" w:lineRule="auto"/>
        <w:tabs>
          <w:tab w:leader="none" w:pos="367"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Assumes exchange under the terms of the Certificate of Designation of the Relative Rights and Preferences of the Series B 10% Convertible Preferred Stock, effective May 5, 2015</w:t>
      </w:r>
    </w:p>
    <w:p>
      <w:pPr>
        <w:ind w:left="180" w:right="380" w:hanging="10"/>
        <w:spacing w:after="0" w:line="209" w:lineRule="auto"/>
        <w:tabs>
          <w:tab w:leader="none" w:pos="367"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Assumes exchange under the terms of the Certificate of Designation of the Relative Rights and Preferences of the Series C Convertible Preferred Stock, effective January 25, 2016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believe the following recent accounting pronouncements or changes in accounting pronouncements are of significance or potential significance to the Company.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 July 2017, the Financial Accounting Standards Board (</w:t>
      </w:r>
      <w:r>
        <w:rPr>
          <w:rFonts w:ascii="Times New Roman" w:cs="Times New Roman" w:eastAsia="Times New Roman" w:hAnsi="Times New Roman"/>
          <w:sz w:val="16"/>
          <w:szCs w:val="16"/>
          <w:i w:val="1"/>
          <w:iCs w:val="1"/>
          <w:color w:val="auto"/>
        </w:rPr>
        <w:t>FASB</w:t>
      </w:r>
      <w:r>
        <w:rPr>
          <w:rFonts w:ascii="Times New Roman" w:cs="Times New Roman" w:eastAsia="Times New Roman" w:hAnsi="Times New Roman"/>
          <w:sz w:val="16"/>
          <w:szCs w:val="16"/>
          <w:color w:val="auto"/>
        </w:rPr>
        <w:t>) issued Accounting Standards Update (</w:t>
      </w:r>
      <w:r>
        <w:rPr>
          <w:rFonts w:ascii="Times New Roman" w:cs="Times New Roman" w:eastAsia="Times New Roman" w:hAnsi="Times New Roman"/>
          <w:sz w:val="16"/>
          <w:szCs w:val="16"/>
          <w:i w:val="1"/>
          <w:iCs w:val="1"/>
          <w:color w:val="auto"/>
        </w:rPr>
        <w:t>ASU</w:t>
      </w:r>
      <w:r>
        <w:rPr>
          <w:rFonts w:ascii="Times New Roman" w:cs="Times New Roman" w:eastAsia="Times New Roman" w:hAnsi="Times New Roman"/>
          <w:sz w:val="16"/>
          <w:szCs w:val="16"/>
          <w:color w:val="auto"/>
        </w:rPr>
        <w:t>)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Times New Roman" w:cs="Times New Roman" w:eastAsia="Times New Roman" w:hAnsi="Times New Roman"/>
          <w:sz w:val="16"/>
          <w:szCs w:val="16"/>
          <w:i w:val="1"/>
          <w:iCs w:val="1"/>
          <w:color w:val="auto"/>
        </w:rPr>
        <w:t>ASU 2017-11</w:t>
      </w:r>
      <w:r>
        <w:rPr>
          <w:rFonts w:ascii="Times New Roman" w:cs="Times New Roman" w:eastAsia="Times New Roman" w:hAnsi="Times New Roman"/>
          <w:sz w:val="16"/>
          <w:szCs w:val="16"/>
          <w:color w:val="auto"/>
        </w:rPr>
        <w:t>). Part I of this ASU provides that an entity will no longer have to consider “down round” features (i.e., a provision in an equity-linked financial instrument, such as a free-standing warrant, or an embedded feature, such as a conversion option in a convertible instrument, that reduces the exercise price of such instrument if the entity subsequently sells stock for a lower price or issues an equity-linked instrument with a lower exercise price) when determining whether certain equity-linked financial instruments or embedded features are indexed to its own stock. The definition of a down round feature in ASU 2017-11 excludes standard antidilution provisions related to changes in an entity’s capital structure. Accounting Standards Codification Topic 815-40, “Derivatives and Hedging–Contracts in Entity’s Own Equity” (</w:t>
      </w:r>
      <w:r>
        <w:rPr>
          <w:rFonts w:ascii="Times New Roman" w:cs="Times New Roman" w:eastAsia="Times New Roman" w:hAnsi="Times New Roman"/>
          <w:sz w:val="16"/>
          <w:szCs w:val="16"/>
          <w:i w:val="1"/>
          <w:iCs w:val="1"/>
          <w:color w:val="auto"/>
        </w:rPr>
        <w:t>ASC 815-40</w:t>
      </w:r>
      <w:r>
        <w:rPr>
          <w:rFonts w:ascii="Times New Roman" w:cs="Times New Roman" w:eastAsia="Times New Roman" w:hAnsi="Times New Roman"/>
          <w:sz w:val="16"/>
          <w:szCs w:val="16"/>
          <w:color w:val="auto"/>
        </w:rPr>
        <w:t>) requires that a freestanding equity-linked financial instrument be indexed to the issuer’s own stock to be classified as equity. An equity-linked embedded feature that meets the definition of a derivative may avoid bifurcation and derivative accounting if it is indexed to the issuer’s own stock. Under the terms of prior guidance, a freestanding financial instrument or embedded feature was not considered indexed to the issuer’s own stock if it had a down round provision. Consequently, the freestanding financial instrument was classified as a liability (or asset), and if it met the definition of a derivative, was measured at fair value with changes in fair value recorded through earnings. Similarly, an embedded feature was bifurcated and separately accounted for as a derivative if it met all other criteria for bifurcation under ASC 815-40. The bifurcated embedded feature was also measured at fair value through earnings. Under the provisions of ASU 2017-11, an entity that presents earnings per share (</w:t>
      </w:r>
      <w:r>
        <w:rPr>
          <w:rFonts w:ascii="Times New Roman" w:cs="Times New Roman" w:eastAsia="Times New Roman" w:hAnsi="Times New Roman"/>
          <w:sz w:val="16"/>
          <w:szCs w:val="16"/>
          <w:i w:val="1"/>
          <w:iCs w:val="1"/>
          <w:color w:val="auto"/>
        </w:rPr>
        <w:t>EPS</w:t>
      </w:r>
      <w:r>
        <w:rPr>
          <w:rFonts w:ascii="Times New Roman" w:cs="Times New Roman" w:eastAsia="Times New Roman" w:hAnsi="Times New Roman"/>
          <w:sz w:val="16"/>
          <w:szCs w:val="16"/>
          <w:color w:val="auto"/>
        </w:rPr>
        <w:t xml:space="preserve">) under Accounting Standards Codification Topic 260, “Earnings Per Share” will recognize the effect of a down round feature in a freestanding equity-classified financial instrument only when it is triggered. The effect of triggering such a feature will be recognized as a dividend and a reduction to income available to common shareholders in basic EPS. The new guidance requires new disclosures for financial instruments with down round features and other terms that change conversion or exercise prices. Part I of ASU 2017-11 is effective for fiscal years beginning after December 15, 2018, and interim periods therein, however early adoption is permitted. We early-adopted ASU 2017-11 effective for the quarter ended September 30, 2017 and applied its guidance to certain of the warrants issued in the September 2017 Public Offering, as described more completely in Note 7, </w:t>
      </w:r>
      <w:r>
        <w:rPr>
          <w:rFonts w:ascii="Times New Roman" w:cs="Times New Roman" w:eastAsia="Times New Roman" w:hAnsi="Times New Roman"/>
          <w:sz w:val="16"/>
          <w:szCs w:val="16"/>
          <w:i w:val="1"/>
          <w:iCs w:val="1"/>
          <w:color w:val="auto"/>
        </w:rPr>
        <w:t>Capital Stock</w:t>
      </w:r>
      <w:r>
        <w:rPr>
          <w:rFonts w:ascii="Times New Roman" w:cs="Times New Roman" w:eastAsia="Times New Roman" w:hAnsi="Times New Roman"/>
          <w:sz w:val="16"/>
          <w:szCs w:val="16"/>
          <w:color w:val="auto"/>
        </w:rPr>
        <w:t>. No retrospective adjustments to our financial statements were required as a result of our adoption of ASU 2017-11.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to provide guidance on revenue recognition. In August 2015 and March, April, May and December 2016, the FASB issued additional amendments to the new revenue guidance relating to reporting revenue on a gross versus net basis, identifying performance obligations, licensing arrangements, collectability, noncash consideration, presentation of sales tax, transition, and clarifying examples. Collectively these are referred to as ASC Topic 606, which replaces all legacy GAAP guidance on revenue recognition and eliminates all industry-specific guidance. The new revenue recognition guidance provides a unified model to determine how revenue is recognized. The core principal of the guidance is that an entity should recognize revenue when it transfers promised goods or services to customers in an amount that reflects the consideration to which the company expects to be entitled in exchange for those goods or services. ASC Topic 606 defines a five-step process to achieve this core principal which may require entities to use more judgment and make more estimates than under legacy guidance. These estimates and judgments include identifying performance obligations in the contract, estimating the amount of variable consideration to include in the transaction price and allocating the transaction price to each distinct performance obligation. ASC Topic 606 is effective for our fiscal year beginning April 1, 2018. We will adopt ASC Topic 606 as of April 1, 2018, using the modified retrospective transition method, applying the new guidance to the most current period presented. We currently have only the BlueRock Agreement as a potential revenue generating arrangement. Upon adoption of ASC Topic 606, we anticipate no change to the units of accounting previously identified with respect to that contract under legacy GAAP, which are now considered performance obligations under ASC Topic 606, and there was no change to the revenue recognition pattern for the performance obligation. Accordingly, we do not expect the adoption of the new standard to result in a cumulative effect change to our opening accumulated deficit balance.</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xml:space="preserve">), which will replace the existing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This standard will become effective for our fiscal year beginning April 1, 2019, with early adoption permitted. We expect to adopt the standard as of April 1, 2019, and are evaluating the expected impact of this new guidance on our consolidated financial statements.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includes multiple provisions intended to simplify several aspects of accounting for share-based payment transactions, including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classification of awards as either equity or liabilities, an option to recognize gross stock compensation expense with actual forfeitures recognized as they occur, as well as certain classifications on the statement of cash flows. We adopted the standard effective for our fiscal year beginning April 1, 2017. Our adoption of this ASU did not have a material impact on our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Compensation - Stock Compensation (Topic 718): Scope of Modification Accounting</w:t>
      </w:r>
      <w:r>
        <w:rPr>
          <w:rFonts w:ascii="Times New Roman" w:cs="Times New Roman" w:eastAsia="Times New Roman" w:hAnsi="Times New Roman"/>
          <w:sz w:val="18"/>
          <w:szCs w:val="18"/>
          <w:color w:val="auto"/>
        </w:rPr>
        <w:t>, to clarify which changes to the terms or conditions of a share-based payment award require an entity to apply modification accounting under ASC 718. Under the new guidance, an entity will not apply modification accounting to a share-based payment award if all of the following remain unchanged immediately before and after the change of terms and conditions:</w:t>
      </w:r>
    </w:p>
    <w:p>
      <w:pPr>
        <w:spacing w:after="0" w:line="18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fair value (or calculated value or intrinsic value, if those measurement methods are used),</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vesting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classification as an equity or liability instrument.</w:t>
      </w:r>
    </w:p>
    <w:p>
      <w:pPr>
        <w:spacing w:after="0" w:line="2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ASU 2017-09 is effective for our fiscal year beginning April 1, 2018 and is to be applied prospectively to awards modified on or after the adoption date. We do not believe that our adoption of ASU 2017-09 will have a material effect on our results of operations, financial condition or cash flows.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The standard reduces the diversity in practice of how certain cash receipts and cash payments are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is effective for our fiscal year beginning April 1, 2018 and requires retrospective adoption. We do not believe that the adoption of this guidance will have a material impact on our consolidated financial statements and related disclosures.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that changes the presentation of restricted cash and cash equivalents on the statement of cash flows. Restricted cash and restricted cash equivalents must be included with cash and cash equivalents when reconciling the beginning-of-period and end-of-period total amounts shown on the statement of cash flows. This standard is effective for our fiscal year beginning April 1, 2018. As we do not currently have restricted cash or restricted cash equivalents, we do not believe that the adoption of this ASU will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AV-101 materials and services</w:t>
            </w:r>
          </w:p>
        </w:tc>
        <w:tc>
          <w:tcPr>
            <w:tcW w:w="4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505,900</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Public offering filing fees and expenses</w:t>
            </w:r>
          </w:p>
        </w:tc>
        <w:tc>
          <w:tcPr>
            <w:tcW w:w="4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4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644,800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620" w:type="dxa"/>
            <w:vAlign w:val="bottom"/>
            <w:vMerge w:val="restart"/>
          </w:tcPr>
          <w:p>
            <w:pPr>
              <w:jc w:val="right"/>
              <w:ind w:right="2872"/>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42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(842,100)</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(761,400)</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207,400</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attributable to owned and leased property and equipment for the fiscal years ended March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54,900</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certain leased office equipment, none of our assets were subject to third party security interests at March 31, 2018 or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4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r>
      <w:tr>
        <w:trPr>
          <w:trHeight w:val="243"/>
        </w:trPr>
        <w:tc>
          <w:tcPr>
            <w:tcW w:w="46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AV-101 development and related expenses</w:t>
            </w:r>
          </w:p>
        </w:tc>
        <w:tc>
          <w:tcPr>
            <w:tcW w:w="4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176,600</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402,400</w:t>
            </w:r>
          </w:p>
        </w:tc>
        <w:tc>
          <w:tcPr>
            <w:tcW w:w="140" w:type="dxa"/>
            <w:vAlign w:val="bottom"/>
            <w:shd w:val="clear" w:color="auto" w:fill="CCEEFF"/>
          </w:tcPr>
          <w:p>
            <w:pPr>
              <w:spacing w:after="0"/>
              <w:rPr>
                <w:sz w:val="18"/>
                <w:szCs w:val="18"/>
                <w:color w:val="auto"/>
              </w:rPr>
            </w:pPr>
          </w:p>
        </w:tc>
      </w:tr>
      <w:tr>
        <w:trPr>
          <w:trHeight w:val="216"/>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18"/>
                <w:szCs w:val="18"/>
                <w:color w:val="auto"/>
              </w:rPr>
            </w:pPr>
          </w:p>
        </w:tc>
      </w:tr>
      <w:tr>
        <w:trPr>
          <w:trHeight w:val="223"/>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4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4620" w:type="dxa"/>
            <w:vAlign w:val="bottom"/>
            <w:shd w:val="clear" w:color="auto" w:fill="CCEEFF"/>
          </w:tcPr>
          <w:p>
            <w:pPr>
              <w:spacing w:after="0"/>
              <w:rPr>
                <w:sz w:val="22"/>
                <w:szCs w:val="22"/>
                <w:color w:val="auto"/>
              </w:rPr>
            </w:pPr>
          </w:p>
        </w:tc>
        <w:tc>
          <w:tcPr>
            <w:tcW w:w="4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206,300</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140" w:type="dxa"/>
            <w:vAlign w:val="bottom"/>
            <w:shd w:val="clear" w:color="auto" w:fill="CCEEFF"/>
          </w:tcPr>
          <w:p>
            <w:pPr>
              <w:spacing w:after="0"/>
              <w:rPr>
                <w:sz w:val="22"/>
                <w:szCs w:val="22"/>
                <w:color w:val="auto"/>
              </w:rPr>
            </w:pPr>
          </w:p>
        </w:tc>
      </w:tr>
      <w:tr>
        <w:trPr>
          <w:trHeight w:val="865"/>
        </w:trPr>
        <w:tc>
          <w:tcPr>
            <w:tcW w:w="4620" w:type="dxa"/>
            <w:vAlign w:val="bottom"/>
            <w:tcBorders>
              <w:top w:val="single" w:sz="8" w:color="CCEEFF"/>
              <w:bottom w:val="single" w:sz="8" w:color="auto"/>
            </w:tcBorders>
          </w:tcPr>
          <w:p>
            <w:pPr>
              <w:spacing w:after="0"/>
              <w:rPr>
                <w:sz w:val="24"/>
                <w:szCs w:val="24"/>
                <w:color w:val="auto"/>
              </w:rPr>
            </w:pPr>
          </w:p>
        </w:tc>
        <w:tc>
          <w:tcPr>
            <w:tcW w:w="4200" w:type="dxa"/>
            <w:vAlign w:val="bottom"/>
            <w:tcBorders>
              <w:top w:val="single" w:sz="8" w:color="CCEEFF"/>
              <w:bottom w:val="single" w:sz="8" w:color="auto"/>
            </w:tcBorders>
          </w:tcPr>
          <w:p>
            <w:pPr>
              <w:jc w:val="right"/>
              <w:ind w:right="2872"/>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notes payable: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March 31, 2018</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March 31, 2017</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Accrued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Accrued</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18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Interest</w:t>
            </w:r>
          </w:p>
        </w:tc>
        <w:tc>
          <w:tcPr>
            <w:tcW w:w="1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7.15% (2018) and 8.25% (2017) Notes payable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insurance premium financing company (current)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to unrelated parties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(53,900)</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we executed a promissory note in the face amount of $142,400 in connection with certain insurance policy premiums. The note was payable in monthly installments of $14,800, including principal and interest, through March 2018, when it was paid in full. In February 2018, we executed a promissory note in the face amount of $59,700 in connection with other insurance policy premiums. The note is payable in monthly installments of $6,200, including principal and interest, through December 2018, and has an outstanding balance of $53,900 at March 31, 2018.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Capital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our Annual Meeting of Stockholders on September 15, 2017, as approved by and recommended to our stockholders by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our stockholders approved an amendment to our Restated and Amended Articles of Incorporation to increase the authorized number of shares of common stock that we may issue from 30.0 million shares to 100.0 million shares. The amendment became effective on September 15, 2017, upon our filing of a certificate of amendment with the Nevada Secretary of State.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December 2011, our Board authorized the creation of a series of up to 500,000 shares of Series A Preferred, par value $0.001 (</w:t>
      </w:r>
      <w:r>
        <w:rPr>
          <w:rFonts w:ascii="Times New Roman" w:cs="Times New Roman" w:eastAsia="Times New Roman" w:hAnsi="Times New Roman"/>
          <w:sz w:val="18"/>
          <w:szCs w:val="18"/>
          <w:i w:val="1"/>
          <w:iCs w:val="1"/>
          <w:color w:val="auto"/>
        </w:rPr>
        <w:t>Series A Preferred</w:t>
      </w:r>
      <w:r>
        <w:rPr>
          <w:rFonts w:ascii="Times New Roman" w:cs="Times New Roman" w:eastAsia="Times New Roman" w:hAnsi="Times New Roman"/>
          <w:sz w:val="18"/>
          <w:szCs w:val="18"/>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Series A Preferred has no separate dividend rights, however, whenever the Board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affairs, after payment or provision for payment of our debts and other liabilities, the holders of Series A Preferred then outstanding shall be entitled to receive distributions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March 31, 2018 and 2017, there were 500,000 restricted shares of Series A Preferred outstanding, convertible into 750,000 shares of our common stock at the option of the two respective 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July 2014, our Board authorized the creation of a class of Series B Preferred Stock. In May 2015, we filed a Certificate of Designation of the Relative Rights and Preferences of the Series B 10% Preferred Stock of VistaGen Therapeutics, Inc. (</w:t>
      </w:r>
      <w:r>
        <w:rPr>
          <w:rFonts w:ascii="Times New Roman" w:cs="Times New Roman" w:eastAsia="Times New Roman" w:hAnsi="Times New Roman"/>
          <w:sz w:val="18"/>
          <w:szCs w:val="18"/>
          <w:i w:val="1"/>
          <w:iCs w:val="1"/>
          <w:color w:val="auto"/>
        </w:rPr>
        <w:t>Certificate of Designation</w:t>
      </w:r>
      <w:r>
        <w:rPr>
          <w:rFonts w:ascii="Times New Roman" w:cs="Times New Roman" w:eastAsia="Times New Roman" w:hAnsi="Times New Roman"/>
          <w:sz w:val="18"/>
          <w:szCs w:val="18"/>
          <w:color w:val="auto"/>
        </w:rPr>
        <w:t>) with the Nevada Secretary of State to designate 4.0 million shares of our authorized preferred stock as Series B Preferred.</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Series B Preferred is convertible, at the option of the holder (</w:t>
      </w: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into one (1) share of our Common Stock, subject to adjustment only for customary stock dividends, reclassifications, splits and similar transactions set forth in the Certificate of Designation. Outstanding shares of Series B Preferred are also convertible automatically on a one-to-one basis into shares of our Common Stock (</w:t>
      </w: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are subject to certain beneficial ownership blockers as set forth in the Certificate of Designation and/or securities purchase agreements. Following the completion of the May 2016 Public Offering (defined below),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Conversion, shares of Series B Preferred accrue in-kind dividends (payable only in unregistered shares of our common stock) at a rate of 10% per annum (</w:t>
      </w:r>
      <w:r>
        <w:rPr>
          <w:rFonts w:ascii="Times New Roman" w:cs="Times New Roman" w:eastAsia="Times New Roman" w:hAnsi="Times New Roman"/>
          <w:sz w:val="18"/>
          <w:szCs w:val="18"/>
          <w:i w:val="1"/>
          <w:iCs w:val="1"/>
          <w:color w:val="auto"/>
        </w:rPr>
        <w:t>Accrued Dividends</w:t>
      </w:r>
      <w:r>
        <w:rPr>
          <w:rFonts w:ascii="Times New Roman" w:cs="Times New Roman" w:eastAsia="Times New Roman" w:hAnsi="Times New Roman"/>
          <w:sz w:val="18"/>
          <w:szCs w:val="18"/>
          <w:color w:val="auto"/>
        </w:rPr>
        <w:t>). The Accrued Dividends are payable on the date of either a Voluntary Conversion or Automatic Conversion solely in that number of shares of common stock equal to the Accrued Dividends. At March 31, 2018, we have recognized a liability in the amount of $2,608,300 for Accrued Dividends in the accompanying Consolidated Balance Sheet at March 31, 2018, based on the Series B Preferred issued and outstanding, net of conversions to common stock, through that date. We have recognized a deduction from net loss of $1,030,400 and $1,257,000 related to dividends on Series B Preferred in arriving at net loss attributable to common stockholders in the accompanying Consolidated Statement of Operations and Comprehensive Loss for the fiscal years ended March 31, 2018 and 2017, respectively.</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the liquidation, dissolution or winding-up of our affairs, after payment or provision for payment of our debts and other liabilities, the Holders of the Series B Preferred then outstanding shall be entitled to receive distributions out of our assets, if any, of an amount equal to the Stated Value of the Series B Preferred ($7.00 per share), plus any accrued and unpaid dividends thereon, before any distribution or payment shall be made to the holders of any junior securities, including holders of our common stock. If our assets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 Upon liquidation, each share of Series B Preferred ranks pari-passu with our Series A Preferred and our Series C Preferred (defined below).The liquidation value of the Series B Preferred at March 31, 2018 is approximately $10,729,900.</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March 31, 2018 and 2017, there were 1,160,240 shares of Series B Preferred outstanding, which shares are currently subject to beneficial ownership blockers and are exchangeable at the option of the two respective holders by Voluntary Conversion, or pursuant to Automatic Conversion to the extent not otherwise subject to beneficial ownership blockers, into an aggregate of 1,160,240 shares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Times New Roman" w:cs="Times New Roman" w:eastAsia="Times New Roman" w:hAnsi="Times New Roman"/>
          <w:sz w:val="18"/>
          <w:szCs w:val="18"/>
          <w:i w:val="1"/>
          <w:iCs w:val="1"/>
          <w:color w:val="auto"/>
        </w:rPr>
        <w:t>Series C Preferred Certificate of Designation</w:t>
      </w:r>
      <w:r>
        <w:rPr>
          <w:rFonts w:ascii="Times New Roman" w:cs="Times New Roman" w:eastAsia="Times New Roman" w:hAnsi="Times New Roman"/>
          <w:sz w:val="18"/>
          <w:szCs w:val="18"/>
          <w:color w:val="auto"/>
        </w:rPr>
        <w:t>) with the Nevada Secretary of State to designate 3.0 million shares of our preferred stock, par value $0.001 per share, as Series C Convertible Preferred Stock (</w:t>
      </w:r>
      <w:r>
        <w:rPr>
          <w:rFonts w:ascii="Times New Roman" w:cs="Times New Roman" w:eastAsia="Times New Roman" w:hAnsi="Times New Roman"/>
          <w:sz w:val="18"/>
          <w:szCs w:val="18"/>
          <w:i w:val="1"/>
          <w:iCs w:val="1"/>
          <w:color w:val="auto"/>
        </w:rPr>
        <w:t>Series C Preferred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 Upon liquidation, each share of Series C Preferred ranks pari-passu with our Series B Preferred and our Series A Preferred.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Each share of Series C Preferred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At March 31, 2018 and 2017, one holder and its affiliates held all 2,318,012 outstanding shares of Series C Preferred.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Unit Offering</w:t>
      </w:r>
    </w:p>
    <w:p>
      <w:pPr>
        <w:spacing w:after="0" w:line="22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and Series B Warrants (together </w:t>
      </w:r>
      <w:r>
        <w:rPr>
          <w:rFonts w:ascii="Times New Roman" w:cs="Times New Roman" w:eastAsia="Times New Roman" w:hAnsi="Times New Roman"/>
          <w:sz w:val="16"/>
          <w:szCs w:val="16"/>
          <w:i w:val="1"/>
          <w:iCs w:val="1"/>
          <w:color w:val="auto"/>
        </w:rPr>
        <w:t>Series B Preferred Units</w:t>
      </w:r>
      <w:r>
        <w:rPr>
          <w:rFonts w:ascii="Times New Roman" w:cs="Times New Roman" w:eastAsia="Times New Roman" w:hAnsi="Times New Roman"/>
          <w:sz w:val="16"/>
          <w:szCs w:val="16"/>
          <w:color w:val="auto"/>
        </w:rPr>
        <w:t>), including $2,650,000 to PLTG. We issued 757,692 shares of Series B Preferred and Series B Warrants to purchase 757,692 shares of our common stock. During our fiscal year ended March 31, 2017, we received an aggregate of $278,000 in cash proceeds from our self-placed private placement and sale of 39,174 Series B Preferred Units.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issued in the Series B Preferred Unit Offering have no anti-dilution or other exercise price or share reset features, except as is customary with respect to a change in our capital structure in the event of a stock split or dividend, and, accordingly, we have accounted for them as equity warrants. We allocated the proceeds from the sale of the Series B Preferred Units sold during our fiscal year ended March 31, 2017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$4.20 per share, and its Conversion Price (or stated value) of $7.00 per share represents a deemed dividend to the purchasers of the Series B Preferred Units. Accordingly, we recognized a deemed dividend in the aggregate amount of $111,100 in arriving at net loss attributable to common stockholders in the accompanying Consolidated Statement of Operations and Comprehensive Loss for the fiscal year ended March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5"/>
                <w:szCs w:val="15"/>
                <w:b w:val="1"/>
                <w:bCs w:val="1"/>
                <w:color w:val="auto"/>
              </w:rPr>
              <w:t>Unit Warrants</w:t>
            </w: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4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w w:val="98"/>
              </w:rPr>
              <w:t>Weighted Average Issuance Date Valuation Assumptions</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2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Aggregate Allocation of</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4"/>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5"/>
                <w:szCs w:val="15"/>
                <w:b w:val="1"/>
                <w:bCs w:val="1"/>
                <w:color w:val="auto"/>
                <w:w w:val="97"/>
              </w:rPr>
              <w:t>Per Share</w:t>
            </w:r>
          </w:p>
        </w:tc>
        <w:tc>
          <w:tcPr>
            <w:tcW w:w="90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5"/>
                <w:szCs w:val="15"/>
                <w:b w:val="1"/>
                <w:bCs w:val="1"/>
                <w:color w:val="auto"/>
              </w:rPr>
              <w:t>Aggregate</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5"/>
                <w:szCs w:val="15"/>
                <w:b w:val="1"/>
                <w:bCs w:val="1"/>
                <w:color w:val="auto"/>
                <w:w w:val="97"/>
              </w:rPr>
              <w:t>Aggregate</w:t>
            </w:r>
          </w:p>
        </w:tc>
        <w:tc>
          <w:tcPr>
            <w:tcW w:w="1820" w:type="dxa"/>
            <w:vAlign w:val="bottom"/>
            <w:gridSpan w:val="3"/>
          </w:tcPr>
          <w:p>
            <w:pPr>
              <w:jc w:val="center"/>
              <w:ind w:right="40"/>
              <w:spacing w:after="0" w:line="133" w:lineRule="exact"/>
              <w:rPr>
                <w:sz w:val="20"/>
                <w:szCs w:val="20"/>
                <w:color w:val="auto"/>
              </w:rPr>
            </w:pPr>
            <w:r>
              <w:rPr>
                <w:rFonts w:ascii="Times New Roman" w:cs="Times New Roman" w:eastAsia="Times New Roman" w:hAnsi="Times New Roman"/>
                <w:sz w:val="15"/>
                <w:szCs w:val="15"/>
                <w:b w:val="1"/>
                <w:bCs w:val="1"/>
                <w:color w:val="auto"/>
                <w:w w:val="98"/>
              </w:rPr>
              <w:t>Proceeds Based</w:t>
            </w:r>
          </w:p>
        </w:tc>
        <w:tc>
          <w:tcPr>
            <w:tcW w:w="0" w:type="dxa"/>
            <w:vAlign w:val="bottom"/>
          </w:tcPr>
          <w:p>
            <w:pPr>
              <w:spacing w:after="0"/>
              <w:rPr>
                <w:sz w:val="1"/>
                <w:szCs w:val="1"/>
                <w:color w:val="auto"/>
              </w:rPr>
            </w:pPr>
          </w:p>
        </w:tc>
      </w:tr>
      <w:tr>
        <w:trPr>
          <w:trHeight w:val="169"/>
        </w:trPr>
        <w:tc>
          <w:tcPr>
            <w:tcW w:w="138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w w:val="98"/>
              </w:rPr>
              <w:t>Warrant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center"/>
              <w:ind w:right="83"/>
              <w:spacing w:after="0" w:line="142" w:lineRule="exact"/>
              <w:rPr>
                <w:sz w:val="20"/>
                <w:szCs w:val="20"/>
                <w:color w:val="auto"/>
              </w:rPr>
            </w:pPr>
            <w:r>
              <w:rPr>
                <w:rFonts w:ascii="Times New Roman" w:cs="Times New Roman" w:eastAsia="Times New Roman" w:hAnsi="Times New Roman"/>
                <w:sz w:val="15"/>
                <w:szCs w:val="15"/>
                <w:b w:val="1"/>
                <w:bCs w:val="1"/>
                <w:color w:val="auto"/>
                <w:w w:val="96"/>
              </w:rPr>
              <w:t>Risk free</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5"/>
                <w:szCs w:val="15"/>
                <w:b w:val="1"/>
                <w:bCs w:val="1"/>
                <w:color w:val="auto"/>
                <w:w w:val="94"/>
              </w:rPr>
              <w:t>Fair</w:t>
            </w:r>
          </w:p>
        </w:tc>
        <w:tc>
          <w:tcPr>
            <w:tcW w:w="90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5"/>
                <w:szCs w:val="15"/>
                <w:b w:val="1"/>
                <w:bCs w:val="1"/>
                <w:color w:val="auto"/>
                <w:w w:val="95"/>
              </w:rPr>
              <w:t>Fair Value</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w w:val="97"/>
              </w:rPr>
              <w:t>Proceeds</w:t>
            </w:r>
          </w:p>
        </w:tc>
        <w:tc>
          <w:tcPr>
            <w:tcW w:w="18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w w:val="97"/>
              </w:rPr>
              <w:t>on Relative Fair Value of:</w:t>
            </w:r>
          </w:p>
        </w:tc>
        <w:tc>
          <w:tcPr>
            <w:tcW w:w="0" w:type="dxa"/>
            <w:vAlign w:val="bottom"/>
          </w:tcPr>
          <w:p>
            <w:pPr>
              <w:spacing w:after="0"/>
              <w:rPr>
                <w:sz w:val="1"/>
                <w:szCs w:val="1"/>
                <w:color w:val="auto"/>
              </w:rPr>
            </w:pPr>
          </w:p>
        </w:tc>
      </w:tr>
      <w:tr>
        <w:trPr>
          <w:trHeight w:val="196"/>
        </w:trPr>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Market</w:t>
            </w:r>
          </w:p>
        </w:tc>
        <w:tc>
          <w:tcPr>
            <w:tcW w:w="1020" w:type="dxa"/>
            <w:vAlign w:val="bottom"/>
          </w:tcPr>
          <w:p>
            <w:pPr>
              <w:jc w:val="center"/>
              <w:ind w:right="42"/>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880" w:type="dxa"/>
            <w:vAlign w:val="bottom"/>
          </w:tcPr>
          <w:p>
            <w:pPr>
              <w:jc w:val="center"/>
              <w:ind w:right="101"/>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92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5"/>
              </w:rPr>
              <w:t>Interest</w:t>
            </w:r>
          </w:p>
        </w:tc>
        <w:tc>
          <w:tcPr>
            <w:tcW w:w="92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Dividend</w:t>
            </w:r>
          </w:p>
        </w:tc>
        <w:tc>
          <w:tcPr>
            <w:tcW w:w="900" w:type="dxa"/>
            <w:vAlign w:val="bottom"/>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900" w:type="dxa"/>
            <w:vAlign w:val="bottom"/>
          </w:tcPr>
          <w:p>
            <w:pPr>
              <w:jc w:val="center"/>
              <w:ind w:right="23"/>
              <w:spacing w:after="0"/>
              <w:rPr>
                <w:sz w:val="20"/>
                <w:szCs w:val="20"/>
                <w:color w:val="auto"/>
              </w:rPr>
            </w:pPr>
            <w:r>
              <w:rPr>
                <w:rFonts w:ascii="Times New Roman" w:cs="Times New Roman" w:eastAsia="Times New Roman" w:hAnsi="Times New Roman"/>
                <w:sz w:val="15"/>
                <w:szCs w:val="15"/>
                <w:b w:val="1"/>
                <w:bCs w:val="1"/>
                <w:color w:val="auto"/>
                <w:w w:val="98"/>
              </w:rPr>
              <w:t>of Unit</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 Unit</w:t>
            </w:r>
          </w:p>
        </w:tc>
        <w:tc>
          <w:tcPr>
            <w:tcW w:w="9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w w:val="98"/>
              </w:rPr>
              <w:t>Unit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Issued</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1020" w:type="dxa"/>
            <w:vAlign w:val="bottom"/>
          </w:tcPr>
          <w:p>
            <w:pPr>
              <w:jc w:val="center"/>
              <w:ind w:right="62"/>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5"/>
                <w:szCs w:val="15"/>
                <w:b w:val="1"/>
                <w:bCs w:val="1"/>
                <w:color w:val="auto"/>
                <w:w w:val="92"/>
              </w:rPr>
              <w:t>(Years)</w:t>
            </w:r>
          </w:p>
        </w:tc>
        <w:tc>
          <w:tcPr>
            <w:tcW w:w="92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3"/>
              </w:rPr>
              <w:t>Rate</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Volatility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9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5"/>
              </w:rPr>
              <w:t>Warrant</w:t>
            </w:r>
          </w:p>
        </w:tc>
        <w:tc>
          <w:tcPr>
            <w:tcW w:w="9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Sales</w:t>
            </w:r>
          </w:p>
        </w:tc>
        <w:tc>
          <w:tcPr>
            <w:tcW w:w="98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Unit 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Warrant</w:t>
            </w:r>
          </w:p>
        </w:tc>
        <w:tc>
          <w:tcPr>
            <w:tcW w:w="0" w:type="dxa"/>
            <w:vAlign w:val="bottom"/>
          </w:tcPr>
          <w:p>
            <w:pPr>
              <w:spacing w:after="0"/>
              <w:rPr>
                <w:sz w:val="1"/>
                <w:szCs w:val="1"/>
                <w:color w:val="auto"/>
              </w:rPr>
            </w:pPr>
          </w:p>
        </w:tc>
      </w:tr>
      <w:tr>
        <w:trPr>
          <w:trHeight w:val="216"/>
        </w:trPr>
        <w:tc>
          <w:tcPr>
            <w:tcW w:w="1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39,714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$ 8.45</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$ 7.00</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5.00</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1.27%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$ 223,500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$ 278,000</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$ 166,900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2016 Public Offering and Listing of our Common Stock on the NASDAQ Capital Market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Effective on May 16, 2016, we consummated an underwritten public offering of our securities, pursuant to which we issued units consisting of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(the </w:t>
      </w:r>
      <w:r>
        <w:rPr>
          <w:rFonts w:ascii="Times New Roman" w:cs="Times New Roman" w:eastAsia="Times New Roman" w:hAnsi="Times New Roman"/>
          <w:sz w:val="18"/>
          <w:szCs w:val="18"/>
          <w:i w:val="1"/>
          <w:iCs w:val="1"/>
          <w:color w:val="auto"/>
        </w:rPr>
        <w:t>May 2016 Public Offering</w:t>
      </w:r>
      <w:r>
        <w:rPr>
          <w:rFonts w:ascii="Times New Roman" w:cs="Times New Roman" w:eastAsia="Times New Roman" w:hAnsi="Times New Roman"/>
          <w:sz w:val="18"/>
          <w:szCs w:val="18"/>
          <w:color w:val="auto"/>
        </w:rPr>
        <w:t>).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our capital structure in the event of a stock split or dividend, and, accordingly, we have accounted for them as equity warrants.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securities included in the May 2016 Public Offering were offered, issued and sold under a prospectus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pursuant to an effective registration statement (</w:t>
      </w:r>
      <w:r>
        <w:rPr>
          <w:rFonts w:ascii="Times New Roman" w:cs="Times New Roman" w:eastAsia="Times New Roman" w:hAnsi="Times New Roman"/>
          <w:sz w:val="18"/>
          <w:szCs w:val="18"/>
          <w:i w:val="1"/>
          <w:iCs w:val="1"/>
          <w:color w:val="auto"/>
        </w:rPr>
        <w:t>Primary Registration Statement</w:t>
      </w:r>
      <w:r>
        <w:rPr>
          <w:rFonts w:ascii="Times New Roman" w:cs="Times New Roman" w:eastAsia="Times New Roman" w:hAnsi="Times New Roman"/>
          <w:sz w:val="18"/>
          <w:szCs w:val="18"/>
          <w:color w:val="auto"/>
        </w:rPr>
        <w:t>) filed with the Commission on Form S-1 (File No. 333-210152) pursuant to the Securities Act. The Primary Registration Statement was first filed with the Commission on March 14, 2016, and was declared effective on May 10, 2016.</w:t>
      </w:r>
    </w:p>
    <w:p>
      <w:pPr>
        <w:spacing w:after="0" w:line="1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connection with the completion of our May 2016 Public Offering, NASDAQ approved our common stock for listing on the NASDAQ Capital Market. Our common stock began trading on the NASDAQ Capital Market under the symbol “VTGN” on May 11, 2016.</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Warrants Issued in September 2017 Public Offering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September 6, 2017, we completed the September 2017 Public Offering, resulting in gross proceeds of approximately $2.4 million, pursuant to which we offered and sold shares of our common stock and warrants to two of our existing institutional investors. We issued an aggregate of 1,371,430 shares of our common stock, Series A1 Warrants to purchase up to 1,388,931 shares of common stock and Series A2 Warrants to purchase up to 503,641 of common stock (collectively, the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each exercisable for $1.82 per share in the September 2017 Public Offering. The Series A1 Warrants became exercisable by the investors for a five-year period commencing on March 7, 2018, and the Series A2 Warrants were immediately exercisable at any time through September 6, 2022. The common stock and the shares of common stock underlying the Warrants issued in the September 2017 Public Offering were offered, issued and sold pursuant to our S-3 Registration Statement (Registration No. 333-215671) that had previously been declared effective by the Commission to cover this and potential future sales of our equity securities in one or more public offerings from time to time. We received net proceeds of approximately $2.0 million from the September 2017 Public Offering, after deducting underwriter’s commission and other expenses related to the offering.</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Series A1 Warrants to purchase an aggregate of 1,388,931 shares of our common stock issued in the September 2017 Public Offering have no anti-dilution or other exercise price or share reset features, except as is customary with respect to a change in our capital structure in the event of a stock split or dividend, and, accordingly, we have accounted for them as equity warrants. The Series A2 Warrants to purchase an aggregate of 503,641 shares of our common stock contained anti-dilution protection provisions that would take effect upon the issuance of any common stock, securities convertible into common stock or certain other issuances at a price below the then-current ($1.82 per share) exercise price of the Series A2 Warrants, with certain exceptions; provided, however, that such anti-dilution protection would terminate automatically on the trading day following the date on which we raised at least $20.0 million in aggregate gross proceeds through one or more issuances of common stock or equity-linked securities. The anti-dilution protection provisions in the Series A2 Warrants constituted a down round feature subject to the guidance in ASU 2017-11. Since the Series A2 Warrants contained no other provisions which required their treatment as liability warrants rather than equity warrants, including exercise price or share reset features, except as is customary with respect to a change in our capital structure in the event of a stock split or dividend and which are also present in the Series A1 Warrants, we also accounted for the Series A2 Warrants as equity warrants. The anti-dilution protection provisions of the Series A2 Warrants were triggered upon our issuance of common stock and warrants in the December 2017 Public Offering (defined below) at a price below the Series A2 Warrants then-current $1.82 per share exercise price.</w:t>
      </w:r>
    </w:p>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Common Stock and Warrants Issued in December 2017 Public Offering and Trigger of Anti-Dilution Protection Provisions of Series A2 Warrants Issued in September 2017 Public Offering</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On December 13, 2017, we completed the December 2017 Public Offering, resulting in gross proceeds of $15.0 million, pursuant to which we offered and sold shares of our common stock and warrants to purchase shares of our common stock at a combined public offering price of $1.50 per shares and related warrant. We issued an aggregate of 10,000,000 shares of our common stock and warrants to purchase up to 10,000,000 shares of our common stock at an exercise price of $1.50 per share (the </w:t>
      </w:r>
      <w:r>
        <w:rPr>
          <w:rFonts w:ascii="Times New Roman" w:cs="Times New Roman" w:eastAsia="Times New Roman" w:hAnsi="Times New Roman"/>
          <w:sz w:val="16"/>
          <w:szCs w:val="16"/>
          <w:i w:val="1"/>
          <w:iCs w:val="1"/>
          <w:color w:val="auto"/>
        </w:rPr>
        <w:t>December 2017 Offering Warrants</w:t>
      </w:r>
      <w:r>
        <w:rPr>
          <w:rFonts w:ascii="Times New Roman" w:cs="Times New Roman" w:eastAsia="Times New Roman" w:hAnsi="Times New Roman"/>
          <w:sz w:val="16"/>
          <w:szCs w:val="16"/>
          <w:color w:val="auto"/>
        </w:rPr>
        <w:t>). The common stock and the shares of common stock underlying the December 2017 Offering Warrants issued in the December 2017 Public Offering were offered, issued and sold pursuant to our Registration Statement on Form S-1 (Registration No. 333-221009) that was declared effective by the Commission on December 11, 2017. The December 2017 Offering Warrants are exercisable at any time through December 13, 2022, have no anti-dilution or other exercise price or share reset features, except as is customary with respect to a change in our capital structure in the event of a stock split or dividend, and do not contain any cashless exercise features as long as our Registration Statement on Form S-1 (Registration No. 333-221009) is effective. Accordingly, we accounted for the December 2017 Offering Warrants as equity warrants. We received net proceeds of approximately $13.6 million from the December 2017 Public Offering, after deducting underwriter’s commission and other expenses related to the offering.</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 of units consisting of common stock and warrants in the December 2017 Public Offering at an offering price of $1.50 per unit triggered the anti-dilution provisions of the Series A2 Warrants. In accordance with the anti-dilution terms and formula contained in the Series A2 warrants, the exercise price of the Series A2 Warrants was reduced to $0.001 per share. In December 2017 and January 2018, the holders exercised the reset Series A2 warrants to purchase an aggregate of 503,641 shares of our common stock from which we received nominal cash proceeds. In accordance with the guidance in ASU 2017-11, we recognized the effect of triggering the down round feature as a deemed dividend in our Consolidated Statement of Stockholders’ Equity for the fiscal year ended March 31, 2018 and as an addition to net loss attributable to common stockholders and in our calculation of basic and fully diluted earnings per share in our Consolidated Statement of Operations for the fiscal year ended March 31, 2018.</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calculated the dividend from the trigger of the down round provision feature, $199,200, using the Black Scholes Option Pricing Model and the assumptions indicated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Pre-reset</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Post-reset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 shares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Warrants Issued in Private Placements</w:t>
      </w:r>
    </w:p>
    <w:p>
      <w:pPr>
        <w:spacing w:after="0" w:line="22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During the quarter ended December 31, 2016, in self-placed private transactions, we sold to two individual accredited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the shares of common stock issuable upon exercise of the warrants comprising the units sold. We received aggregate cash proceeds of $247,900 in connection with this private placement, the entire amount of which was credited to stockholders’ equity.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2017, in a self-placed private transaction, we sold to an accredited investor units, at a purchase price of $2.00 per unit, consisting of an aggregate of 57,250 unregistered shares of our common stock and warrants, exercisable through April 2021, to purchase an aggregate of 28,625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We received aggregate cash proceeds of $114,500 in connection with this private placement, the entire amount of which was credited to stockholders’ equity.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2017, in self-placed private placement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these self-placed private placement transactions, and the entire amount of the proceeds was credited to stockholders’ equity.</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During the quarter ended September 30,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jc w:val="both"/>
        <w:spacing w:after="0" w:line="292" w:lineRule="auto"/>
        <w:rPr>
          <w:sz w:val="20"/>
          <w:szCs w:val="20"/>
          <w:color w:val="auto"/>
        </w:rPr>
      </w:pPr>
      <w:r>
        <w:rPr>
          <w:rFonts w:ascii="Times New Roman" w:cs="Times New Roman" w:eastAsia="Times New Roman" w:hAnsi="Times New Roman"/>
          <w:sz w:val="16"/>
          <w:szCs w:val="16"/>
          <w:color w:val="auto"/>
        </w:rPr>
        <w:t>During the quarter ended December 31, 2017, in a self-placed private placement transaction, we sold to an accredited investor units consisting of 150,000 shares of our unregistered common stock and warrants exercisable through November 30, 2021 to purchase 150,000 unregistered shares of our common stock at an exercise price of $2.00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$150,000 from this sale of our securities, and the entire amount of the proceeds was credited to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to Professional Services Providers and in Settlement of Accounts Payable</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our fiscal years ended March 31, 2018 and 2017, we issued the following securities in private placement transactions as compensation for various professional services. Unless otherwise noted, we recorded the related non-cash expense as a component of general and administrative expense in the Consolidated Statement of Operations and Comprehensive Loss for the fiscal years ended March 31, 2018 and 2017, as appropriate.</w:t>
      </w:r>
    </w:p>
    <w:p>
      <w:pPr>
        <w:spacing w:after="0" w:line="186" w:lineRule="exact"/>
        <w:rPr>
          <w:sz w:val="20"/>
          <w:szCs w:val="20"/>
          <w:color w:val="auto"/>
        </w:rPr>
      </w:pPr>
    </w:p>
    <w:p>
      <w:pPr>
        <w:jc w:val="both"/>
        <w:ind w:left="660" w:hanging="328"/>
        <w:spacing w:after="0" w:line="26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2016, we issued an aggregate of 170,000 shares of our unregistered common stock having an aggregate fair value on the date of issuance of $737,800 as compensation to various professional services providers. Of that amount, we issued 120,000 shares having a fair value of $520,800 on the date of issuance for services to be rendered from October 2016 to December 2016.</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85" w:name="page86"/>
    <w:bookmarkEnd w:id="8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ind w:left="660" w:hanging="328"/>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2016, we issued an aggregate of 135,000 shares of our unregistered common stock having an aggregate fair value on the respective dates of issuance of $479,800 as compensation to various professional services providers.</w:t>
      </w:r>
    </w:p>
    <w:p>
      <w:pPr>
        <w:spacing w:after="0" w:line="10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2017, we issued an aggregate of 200,000 unregistered shares of our common stock, of which 150,000 unregistered shares were issued from our 2016 Plan (defined below), having an aggregate fair value of $422,500 on the dates of issuance to various professional services providers.</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2017, we issued an aggregate of 927,500 unregistered shares of our common stock, of which 477,500 shares were issued from our 2016 Plan, for various professional services, including contract research, legal, investor relations and financial advisory services. The common stock issued had an aggregate fair value of $1,503,600 on the dates issued, of which all but $117,300 has been recognized as noncash expense through March 31, 2018. The un-expensed portion at March 31, 2018, which is included in prepaid expenses in our accompanying Consolidated Balance Sheet, is being recognized in expense ratably through July 2019 in accordance with the terms of work orders for certain contract research services to be provided through that period.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2017, we issued an aggregate of 70,000 unregistered shares of our common stock, all of which were issued from our 2016 Plan for additional investor relations and financial advisory services. The common stock issued had an aggregate fair value of $140,800 on the dates issued.</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2017, we also issued 500,000 unregistered shares of our common stock having a fair value at the time of issuance of $585,000 and a cash payment of $76,500 to our contract manufacturing organization (</w:t>
      </w:r>
      <w:r>
        <w:rPr>
          <w:rFonts w:ascii="Times New Roman" w:cs="Times New Roman" w:eastAsia="Times New Roman" w:hAnsi="Times New Roman"/>
          <w:sz w:val="18"/>
          <w:szCs w:val="18"/>
          <w:i w:val="1"/>
          <w:iCs w:val="1"/>
          <w:color w:val="auto"/>
        </w:rPr>
        <w:t>CMO</w:t>
      </w:r>
      <w:r>
        <w:rPr>
          <w:rFonts w:ascii="Times New Roman" w:cs="Times New Roman" w:eastAsia="Times New Roman" w:hAnsi="Times New Roman"/>
          <w:sz w:val="18"/>
          <w:szCs w:val="18"/>
          <w:color w:val="auto"/>
        </w:rPr>
        <w:t>) in exchange for and settlement of $526,500 of open accounts payable for services provided by the CMO relating to production of AV-101 drug substance. We recognized a corresponding loss on settlement of accounts payable in the amount of $135,000 for the quarter ended December 31, 2017.</w:t>
      </w:r>
    </w:p>
    <w:p>
      <w:pPr>
        <w:spacing w:after="0" w:line="190"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2018, we issued 30,000 unregistered shares of our common stock to a provider of investor relations and financial advisory services. The common stock issued had an aggregate fair value of $39,000 on the date issued.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Exchanges into Common Stock</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our fiscal year ended March 31, 2017, we entered into Warrant Exchange Agreements with certain holders of outstanding warrants to purchase an aggregate of 224,693 shares of our common stock pursuant to which the holders agreed to cancel such warrants in exchange for the issuance of an aggregate of 156,246 unregistered shares of common stock.</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accounted for the exchanges of these warrants as warrant modifications, comparing the fair value of the warrants immediately prior to the exchanges with the fair value of the unregistered common stock issued.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the exchange, as also indicated in the table below. We recognized the incremental fair value of the unregistered common stock issued in excess of the fair value of the warrants cancelled, $350,700, as a component of warrant modification expense which is included in general and administrative expenses in our accompanying Consolidated Statement of Operations and Comprehensive Loss for the fiscal year ended March 31, 2017.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 Exchanges - FY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1094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right"/>
              <w:ind w:right="415"/>
              <w:spacing w:after="0"/>
              <w:rPr>
                <w:sz w:val="20"/>
                <w:szCs w:val="20"/>
                <w:color w:val="auto"/>
              </w:rPr>
            </w:pPr>
            <w:r>
              <w:rPr>
                <w:rFonts w:ascii="Times New Roman" w:cs="Times New Roman" w:eastAsia="Times New Roman" w:hAnsi="Times New Roman"/>
                <w:sz w:val="15"/>
                <w:szCs w:val="15"/>
                <w:b w:val="1"/>
                <w:bCs w:val="1"/>
                <w:color w:val="auto"/>
              </w:rPr>
              <w:t>April - May 2016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August 2016</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October 2016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December 2016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00"/>
              <w:spacing w:after="0" w:line="145" w:lineRule="exact"/>
              <w:rPr>
                <w:sz w:val="20"/>
                <w:szCs w:val="20"/>
                <w:color w:val="auto"/>
              </w:rPr>
            </w:pPr>
            <w:r>
              <w:rPr>
                <w:rFonts w:ascii="Times New Roman" w:cs="Times New Roman" w:eastAsia="Times New Roman" w:hAnsi="Times New Roman"/>
                <w:sz w:val="15"/>
                <w:szCs w:val="15"/>
                <w:b w:val="1"/>
                <w:bCs w:val="1"/>
                <w:color w:val="auto"/>
              </w:rPr>
              <w:t>Pre-</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5"/>
              <w:spacing w:after="0" w:line="145" w:lineRule="exact"/>
              <w:rPr>
                <w:sz w:val="20"/>
                <w:szCs w:val="20"/>
                <w:color w:val="auto"/>
              </w:rPr>
            </w:pPr>
            <w:r>
              <w:rPr>
                <w:rFonts w:ascii="Times New Roman" w:cs="Times New Roman" w:eastAsia="Times New Roman" w:hAnsi="Times New Roman"/>
                <w:sz w:val="15"/>
                <w:szCs w:val="15"/>
                <w:b w:val="1"/>
                <w:bCs w:val="1"/>
                <w:color w:val="auto"/>
              </w:rPr>
              <w:t>Post-</w:t>
            </w: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60"/>
              <w:spacing w:after="0" w:line="145" w:lineRule="exact"/>
              <w:rPr>
                <w:sz w:val="20"/>
                <w:szCs w:val="20"/>
                <w:color w:val="auto"/>
              </w:rPr>
            </w:pPr>
            <w:r>
              <w:rPr>
                <w:rFonts w:ascii="Times New Roman" w:cs="Times New Roman" w:eastAsia="Times New Roman" w:hAnsi="Times New Roman"/>
                <w:sz w:val="15"/>
                <w:szCs w:val="15"/>
                <w:b w:val="1"/>
                <w:bCs w:val="1"/>
                <w:color w:val="auto"/>
              </w:rPr>
              <w:t>Pre-</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15"/>
              <w:spacing w:after="0" w:line="145" w:lineRule="exact"/>
              <w:rPr>
                <w:sz w:val="20"/>
                <w:szCs w:val="20"/>
                <w:color w:val="auto"/>
              </w:rPr>
            </w:pPr>
            <w:r>
              <w:rPr>
                <w:rFonts w:ascii="Times New Roman" w:cs="Times New Roman" w:eastAsia="Times New Roman" w:hAnsi="Times New Roman"/>
                <w:sz w:val="15"/>
                <w:szCs w:val="15"/>
                <w:b w:val="1"/>
                <w:bCs w:val="1"/>
                <w:color w:val="auto"/>
                <w:w w:val="98"/>
              </w:rPr>
              <w:t>Post-</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540"/>
              <w:spacing w:after="0" w:line="145" w:lineRule="exact"/>
              <w:rPr>
                <w:sz w:val="20"/>
                <w:szCs w:val="20"/>
                <w:color w:val="auto"/>
              </w:rPr>
            </w:pPr>
            <w:r>
              <w:rPr>
                <w:rFonts w:ascii="Times New Roman" w:cs="Times New Roman" w:eastAsia="Times New Roman" w:hAnsi="Times New Roman"/>
                <w:sz w:val="15"/>
                <w:szCs w:val="15"/>
                <w:b w:val="1"/>
                <w:bCs w:val="1"/>
                <w:color w:val="auto"/>
              </w:rPr>
              <w:t>Pre-</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5"/>
              <w:spacing w:after="0" w:line="145" w:lineRule="exact"/>
              <w:rPr>
                <w:sz w:val="20"/>
                <w:szCs w:val="20"/>
                <w:color w:val="auto"/>
              </w:rPr>
            </w:pPr>
            <w:r>
              <w:rPr>
                <w:rFonts w:ascii="Times New Roman" w:cs="Times New Roman" w:eastAsia="Times New Roman" w:hAnsi="Times New Roman"/>
                <w:sz w:val="15"/>
                <w:szCs w:val="15"/>
                <w:b w:val="1"/>
                <w:bCs w:val="1"/>
                <w:color w:val="auto"/>
              </w:rPr>
              <w:t>Post-</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40"/>
              <w:spacing w:after="0" w:line="145" w:lineRule="exact"/>
              <w:rPr>
                <w:sz w:val="20"/>
                <w:szCs w:val="20"/>
                <w:color w:val="auto"/>
              </w:rPr>
            </w:pPr>
            <w:r>
              <w:rPr>
                <w:rFonts w:ascii="Times New Roman" w:cs="Times New Roman" w:eastAsia="Times New Roman" w:hAnsi="Times New Roman"/>
                <w:sz w:val="15"/>
                <w:szCs w:val="15"/>
                <w:b w:val="1"/>
                <w:bCs w:val="1"/>
                <w:color w:val="auto"/>
              </w:rPr>
              <w:t>Pre-</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5"/>
              <w:spacing w:after="0" w:line="145" w:lineRule="exact"/>
              <w:rPr>
                <w:sz w:val="20"/>
                <w:szCs w:val="20"/>
                <w:color w:val="auto"/>
              </w:rPr>
            </w:pPr>
            <w:r>
              <w:rPr>
                <w:rFonts w:ascii="Times New Roman" w:cs="Times New Roman" w:eastAsia="Times New Roman" w:hAnsi="Times New Roman"/>
                <w:sz w:val="15"/>
                <w:szCs w:val="15"/>
                <w:b w:val="1"/>
                <w:bCs w:val="1"/>
                <w:color w:val="auto"/>
              </w:rPr>
              <w:t>Post-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220" w:type="dxa"/>
            <w:vAlign w:val="bottom"/>
          </w:tcPr>
          <w:p>
            <w:pPr>
              <w:spacing w:after="0"/>
              <w:rPr>
                <w:sz w:val="16"/>
                <w:szCs w:val="16"/>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220" w:type="dxa"/>
            <w:vAlign w:val="bottom"/>
          </w:tcPr>
          <w:p>
            <w:pPr>
              <w:spacing w:after="0"/>
              <w:rPr>
                <w:sz w:val="16"/>
                <w:szCs w:val="16"/>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Weighted average fair value per</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Warrant shares cancelled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41,649</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shares issued in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42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346,100</w:t>
            </w:r>
          </w:p>
        </w:tc>
        <w:tc>
          <w:tcPr>
            <w:tcW w:w="4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Incremental fair value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as warrant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expense</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Warrant Modifications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warrants modified in connection with the warrant exchange transactions described immediately above, we modified other outstanding warrants during our fiscal years ended March 31, 2018 and 2017.</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2016, our Board authorized the modification of an outstanding warrant to both alter the exercise terms and increase the number of shares for which the warrant was exercisable. We calculated the fair value of the warrant immediately before and after the modification using the Black Scholes Option Pricing Model and the assumptions indicated in the table below. We recognized the incremental fair value, $76,900, as warrant modification expense, included as a component of general and administrative expenses, in our Consolidated Statement of Operations and Comprehensive Loss for the fiscal year ended March 31,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Post-</w:t>
            </w:r>
          </w:p>
        </w:tc>
        <w:tc>
          <w:tcPr>
            <w:tcW w:w="0" w:type="dxa"/>
            <w:vAlign w:val="bottom"/>
          </w:tcPr>
          <w:p>
            <w:pPr>
              <w:spacing w:after="0"/>
              <w:rPr>
                <w:sz w:val="1"/>
                <w:szCs w:val="1"/>
                <w:color w:val="auto"/>
              </w:rPr>
            </w:pPr>
          </w:p>
        </w:tc>
      </w:tr>
      <w:tr>
        <w:trPr>
          <w:trHeight w:val="186"/>
        </w:trPr>
        <w:tc>
          <w:tcPr>
            <w:tcW w:w="88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Pre-modification</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 shares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2017, the Board authorized the modification of outstanding warrants issued in private placement transactions between March 2017 and June 2017 to reduce the exercise prices and increase the number of shares issuable thereunder. We calculated the fair value of the warrant immediately before and after the modification using the Black Scholes Option Pricing Model and the weighted average assumptions indicated in the table below. We recognized the incremental fair value, $279,700, as warrant modification expense, included as a component of general and administrative expenses, in our Consolidated Statement of Operations and Comprehensive Loss for the fiscal year ended March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Post-</w:t>
            </w:r>
          </w:p>
        </w:tc>
        <w:tc>
          <w:tcPr>
            <w:tcW w:w="0" w:type="dxa"/>
            <w:vAlign w:val="bottom"/>
          </w:tcPr>
          <w:p>
            <w:pPr>
              <w:spacing w:after="0"/>
              <w:rPr>
                <w:sz w:val="1"/>
                <w:szCs w:val="1"/>
                <w:color w:val="auto"/>
              </w:rPr>
            </w:pPr>
          </w:p>
        </w:tc>
      </w:tr>
      <w:tr>
        <w:trPr>
          <w:trHeight w:val="186"/>
        </w:trPr>
        <w:tc>
          <w:tcPr>
            <w:tcW w:w="88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Pre-modification</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 shares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ended December 31, 2017, the Board authorized the modification of outstanding warrants issued in private placement transactions between August 2017 and November 2017 to reduce the exercise prices of the warrants. We calculated the fair value of the warrants immediately before and after the modification using the Black Scholes Option Pricing Model and the weighted average assumptions indicated in the table below. We recognized the incremental fair value, $13,000, as warrant modification expense, included as a component of general and administrative expenses, in our Consolidated Statement of Operations and Comprehensive Loss for the fiscal year ended March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Assumption:</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Post-</w:t>
            </w:r>
          </w:p>
        </w:tc>
        <w:tc>
          <w:tcPr>
            <w:tcW w:w="0" w:type="dxa"/>
            <w:vAlign w:val="bottom"/>
          </w:tcPr>
          <w:p>
            <w:pPr>
              <w:spacing w:after="0"/>
              <w:rPr>
                <w:sz w:val="1"/>
                <w:szCs w:val="1"/>
                <w:color w:val="auto"/>
              </w:rPr>
            </w:pPr>
          </w:p>
        </w:tc>
      </w:tr>
      <w:tr>
        <w:trPr>
          <w:trHeight w:val="186"/>
        </w:trPr>
        <w:tc>
          <w:tcPr>
            <w:tcW w:w="88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Pre-modification</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Remaining contractual term in years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 shares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fair value per share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Outstanding</w:t>
      </w:r>
    </w:p>
    <w:p>
      <w:pPr>
        <w:spacing w:after="0" w:line="227"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outstanding and exercisable warrants to purchase shares of our common stock as of March 31, 2018. The weighted average exercise price of outstanding and exercisable warrants at March 31, 2018 was $2.85 per share and $2.86 per share,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Warrants</w:t>
            </w:r>
          </w:p>
        </w:tc>
        <w:tc>
          <w:tcPr>
            <w:tcW w:w="204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0" w:type="dxa"/>
            <w:vAlign w:val="bottom"/>
          </w:tcPr>
          <w:p>
            <w:pPr>
              <w:spacing w:after="0"/>
              <w:rPr>
                <w:sz w:val="1"/>
                <w:szCs w:val="1"/>
                <w:color w:val="auto"/>
              </w:rPr>
            </w:pPr>
          </w:p>
        </w:tc>
      </w:tr>
      <w:tr>
        <w:trPr>
          <w:trHeight w:val="162"/>
        </w:trPr>
        <w:tc>
          <w:tcPr>
            <w:tcW w:w="23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1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Outstanding at</w:t>
            </w:r>
          </w:p>
        </w:tc>
        <w:tc>
          <w:tcPr>
            <w:tcW w:w="2040" w:type="dxa"/>
            <w:vAlign w:val="bottom"/>
            <w:gridSpan w:val="2"/>
          </w:tcPr>
          <w:p>
            <w:pPr>
              <w:jc w:val="center"/>
              <w:ind w:right="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Exercisable at</w:t>
            </w:r>
          </w:p>
        </w:tc>
        <w:tc>
          <w:tcPr>
            <w:tcW w:w="0" w:type="dxa"/>
            <w:vAlign w:val="bottom"/>
          </w:tcPr>
          <w:p>
            <w:pPr>
              <w:spacing w:after="0"/>
              <w:rPr>
                <w:sz w:val="1"/>
                <w:szCs w:val="1"/>
                <w:color w:val="auto"/>
              </w:rPr>
            </w:pPr>
          </w:p>
        </w:tc>
      </w:tr>
      <w:tr>
        <w:trPr>
          <w:trHeight w:val="162"/>
        </w:trPr>
        <w:tc>
          <w:tcPr>
            <w:tcW w:w="23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Price</w:t>
            </w:r>
          </w:p>
        </w:tc>
        <w:tc>
          <w:tcPr>
            <w:tcW w:w="140" w:type="dxa"/>
            <w:vAlign w:val="bottom"/>
          </w:tcPr>
          <w:p>
            <w:pPr>
              <w:spacing w:after="0"/>
              <w:rPr>
                <w:sz w:val="14"/>
                <w:szCs w:val="14"/>
                <w:color w:val="auto"/>
              </w:rPr>
            </w:pPr>
          </w:p>
        </w:tc>
        <w:tc>
          <w:tcPr>
            <w:tcW w:w="46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Expiration</w:t>
            </w:r>
          </w:p>
        </w:tc>
        <w:tc>
          <w:tcPr>
            <w:tcW w:w="140" w:type="dxa"/>
            <w:vAlign w:val="bottom"/>
          </w:tcPr>
          <w:p>
            <w:pPr>
              <w:spacing w:after="0"/>
              <w:rPr>
                <w:sz w:val="14"/>
                <w:szCs w:val="14"/>
                <w:color w:val="auto"/>
              </w:rPr>
            </w:pPr>
          </w:p>
        </w:tc>
        <w:tc>
          <w:tcPr>
            <w:tcW w:w="2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March 31,</w:t>
            </w:r>
          </w:p>
        </w:tc>
        <w:tc>
          <w:tcPr>
            <w:tcW w:w="2040" w:type="dxa"/>
            <w:vAlign w:val="bottom"/>
            <w:gridSpan w:val="2"/>
          </w:tcPr>
          <w:p>
            <w:pPr>
              <w:jc w:val="center"/>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0" w:type="dxa"/>
            <w:vAlign w:val="bottom"/>
          </w:tcPr>
          <w:p>
            <w:pPr>
              <w:spacing w:after="0"/>
              <w:rPr>
                <w:sz w:val="1"/>
                <w:szCs w:val="1"/>
                <w:color w:val="auto"/>
              </w:rPr>
            </w:pPr>
          </w:p>
        </w:tc>
      </w:tr>
      <w:tr>
        <w:trPr>
          <w:trHeight w:val="186"/>
        </w:trPr>
        <w:tc>
          <w:tcPr>
            <w:tcW w:w="2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per Share</w:t>
            </w:r>
          </w:p>
        </w:tc>
        <w:tc>
          <w:tcPr>
            <w:tcW w:w="140" w:type="dxa"/>
            <w:vAlign w:val="bottom"/>
          </w:tcPr>
          <w:p>
            <w:pPr>
              <w:spacing w:after="0"/>
              <w:rPr>
                <w:sz w:val="16"/>
                <w:szCs w:val="16"/>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2100" w:type="dxa"/>
            <w:vAlign w:val="bottom"/>
            <w:gridSpan w:val="2"/>
          </w:tcPr>
          <w:p>
            <w:pPr>
              <w:jc w:val="center"/>
              <w:ind w:left="53"/>
              <w:spacing w:after="0"/>
              <w:rPr>
                <w:sz w:val="20"/>
                <w:szCs w:val="20"/>
                <w:color w:val="auto"/>
              </w:rPr>
            </w:pPr>
            <w:r>
              <w:rPr>
                <w:rFonts w:ascii="Times New Roman" w:cs="Times New Roman" w:eastAsia="Times New Roman" w:hAnsi="Times New Roman"/>
                <w:sz w:val="15"/>
                <w:szCs w:val="15"/>
                <w:b w:val="1"/>
                <w:bCs w:val="1"/>
                <w:color w:val="auto"/>
                <w:w w:val="93"/>
              </w:rPr>
              <w:t>2018</w:t>
            </w:r>
          </w:p>
        </w:tc>
        <w:tc>
          <w:tcPr>
            <w:tcW w:w="14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$1.50</w:t>
            </w:r>
          </w:p>
        </w:tc>
        <w:tc>
          <w:tcPr>
            <w:tcW w:w="140" w:type="dxa"/>
            <w:vAlign w:val="bottom"/>
            <w:shd w:val="clear" w:color="auto" w:fill="CCEEFF"/>
          </w:tcPr>
          <w:p>
            <w:pPr>
              <w:spacing w:after="0"/>
              <w:rPr>
                <w:sz w:val="18"/>
                <w:szCs w:val="18"/>
                <w:color w:val="auto"/>
              </w:rPr>
            </w:pPr>
          </w:p>
        </w:tc>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11/30/2021 to 12/13/2022</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10,150,000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$1.82</w:t>
            </w:r>
          </w:p>
        </w:tc>
        <w:tc>
          <w:tcPr>
            <w:tcW w:w="48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3/7/2023</w:t>
            </w:r>
          </w:p>
        </w:tc>
        <w:tc>
          <w:tcPr>
            <w:tcW w:w="2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1,388,931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$2.00</w:t>
            </w:r>
          </w:p>
        </w:tc>
        <w:tc>
          <w:tcPr>
            <w:tcW w:w="482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4/30/2021</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523,573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$3.51</w:t>
            </w:r>
          </w:p>
        </w:tc>
        <w:tc>
          <w:tcPr>
            <w:tcW w:w="48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12/31/2021</w:t>
            </w:r>
          </w:p>
        </w:tc>
        <w:tc>
          <w:tcPr>
            <w:tcW w:w="2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$4.50</w:t>
            </w:r>
          </w:p>
        </w:tc>
        <w:tc>
          <w:tcPr>
            <w:tcW w:w="482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9/26/2019</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$5.30</w:t>
            </w:r>
          </w:p>
        </w:tc>
        <w:tc>
          <w:tcPr>
            <w:tcW w:w="48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5/16/2021</w:t>
            </w:r>
          </w:p>
        </w:tc>
        <w:tc>
          <w:tcPr>
            <w:tcW w:w="2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2,705,883</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$6.00</w:t>
            </w:r>
          </w:p>
        </w:tc>
        <w:tc>
          <w:tcPr>
            <w:tcW w:w="140" w:type="dxa"/>
            <w:vAlign w:val="bottom"/>
            <w:shd w:val="clear" w:color="auto" w:fill="CCEEFF"/>
          </w:tcPr>
          <w:p>
            <w:pPr>
              <w:spacing w:after="0"/>
              <w:rPr>
                <w:sz w:val="18"/>
                <w:szCs w:val="18"/>
                <w:color w:val="auto"/>
              </w:rPr>
            </w:pPr>
          </w:p>
        </w:tc>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9/26/2019 to 11/30/2019</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97,750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$7.00</w:t>
            </w:r>
          </w:p>
        </w:tc>
        <w:tc>
          <w:tcPr>
            <w:tcW w:w="1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12/11/2018 to 3/3/2023</w:t>
            </w:r>
          </w:p>
        </w:tc>
        <w:tc>
          <w:tcPr>
            <w:tcW w:w="2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1,346,931</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$8.00</w:t>
            </w:r>
          </w:p>
        </w:tc>
        <w:tc>
          <w:tcPr>
            <w:tcW w:w="482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3/25/2021</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185,000</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48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1/11/2020</w:t>
            </w:r>
          </w:p>
        </w:tc>
        <w:tc>
          <w:tcPr>
            <w:tcW w:w="2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482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9/15/2019</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110,448</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16,603,516</w:t>
            </w:r>
          </w:p>
        </w:tc>
        <w:tc>
          <w:tcPr>
            <w:tcW w:w="1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16,453,516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2018, we have reserved shares of our common stock for future issuance as follows: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Upon exchange of all shares of Series A Preferred Stock currently issued and outstanding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Upon exchange of all shares of Series B Preferred Stock currently issued and outstanding </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exchange of all shares of Series C Preferred Stock currently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stock incentive plan:</w:t>
      </w:r>
    </w:p>
    <w:p>
      <w:pPr>
        <w:spacing w:after="0" w:line="21" w:lineRule="exact"/>
        <w:rPr>
          <w:sz w:val="20"/>
          <w:szCs w:val="20"/>
          <w:color w:val="auto"/>
        </w:rPr>
      </w:pPr>
    </w:p>
    <w:p>
      <w:pPr>
        <w:ind w:left="340" w:right="3040"/>
        <w:spacing w:after="0" w:line="323" w:lineRule="auto"/>
        <w:rPr>
          <w:sz w:val="20"/>
          <w:szCs w:val="20"/>
          <w:color w:val="auto"/>
        </w:rPr>
      </w:pPr>
      <w:r>
        <w:rPr>
          <w:rFonts w:ascii="Times New Roman" w:cs="Times New Roman" w:eastAsia="Times New Roman" w:hAnsi="Times New Roman"/>
          <w:sz w:val="16"/>
          <w:szCs w:val="16"/>
          <w:color w:val="auto"/>
        </w:rPr>
        <w:t>Subject to outstanding options under the Amended and Restated 2016 Stock Incentive Plan Available for future grants under the Amended and Restated 2016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w:t>
      </w:r>
    </w:p>
    <w:p>
      <w:pPr>
        <w:ind w:left="400" w:hanging="230"/>
        <w:spacing w:after="0" w:line="198" w:lineRule="auto"/>
        <w:tabs>
          <w:tab w:leader="none" w:pos="400" w:val="left"/>
        </w:tabs>
        <w:numPr>
          <w:ilvl w:val="0"/>
          <w:numId w:val="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Assumes exchange under the terms of the October 11, 2012 Note Exchange and Purchase Agreement</w:t>
      </w:r>
    </w:p>
    <w:p>
      <w:pPr>
        <w:spacing w:after="0" w:line="156" w:lineRule="exact"/>
        <w:rPr>
          <w:rFonts w:ascii="Times New Roman" w:cs="Times New Roman" w:eastAsia="Times New Roman" w:hAnsi="Times New Roman"/>
          <w:sz w:val="25"/>
          <w:szCs w:val="25"/>
          <w:color w:val="auto"/>
          <w:vertAlign w:val="superscript"/>
        </w:rPr>
      </w:pPr>
    </w:p>
    <w:p>
      <w:pPr>
        <w:ind w:left="400" w:hanging="230"/>
        <w:spacing w:after="0"/>
        <w:tabs>
          <w:tab w:leader="none" w:pos="40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663,460 common shares issuable in payment of accrued dividends on Series B Preferred upon 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750,000</w:t>
      </w:r>
    </w:p>
    <w:p>
      <w:pPr>
        <w:spacing w:after="0" w:line="22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1,823,700</w:t>
      </w:r>
    </w:p>
    <w:p>
      <w:pPr>
        <w:spacing w:after="0" w:line="22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2,318,012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16,603,516</w:t>
      </w:r>
    </w:p>
    <w:p>
      <w:pPr>
        <w:spacing w:after="0" w:line="200" w:lineRule="exact"/>
        <w:rPr>
          <w:sz w:val="20"/>
          <w:szCs w:val="20"/>
          <w:color w:val="auto"/>
        </w:rPr>
      </w:pPr>
    </w:p>
    <w:p>
      <w:pPr>
        <w:spacing w:after="0" w:line="26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5,300,338</w:t>
      </w:r>
    </w:p>
    <w:p>
      <w:pPr>
        <w:spacing w:after="0" w:line="21"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3,987,162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6985</wp:posOffset>
            </wp:positionV>
            <wp:extent cx="6946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4690" cy="17145"/>
                    </a:xfrm>
                    <a:prstGeom prst="rect">
                      <a:avLst/>
                    </a:prstGeom>
                    <a:noFill/>
                  </pic:spPr>
                </pic:pic>
              </a:graphicData>
            </a:graphic>
          </wp:anchor>
        </w:drawing>
      </w:r>
    </w:p>
    <w:p>
      <w:pPr>
        <w:spacing w:after="0" w:line="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9,287,500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30,782,728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29210</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55245</wp:posOffset>
            </wp:positionV>
            <wp:extent cx="694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78" w:lineRule="exact"/>
        <w:rPr>
          <w:sz w:val="20"/>
          <w:szCs w:val="20"/>
          <w:color w:val="auto"/>
        </w:rPr>
      </w:pPr>
    </w:p>
    <w:p>
      <w:pPr>
        <w:sectPr>
          <w:pgSz w:w="11900" w:h="16838" w:orient="portrait"/>
          <w:cols w:equalWidth="0" w:num="2">
            <w:col w:w="9780" w:space="720"/>
            <w:col w:w="920"/>
          </w:cols>
          <w:pgMar w:left="240" w:top="126" w:right="2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March 31, 2018, we have 46,284,657 authorized shares of our common stock not subject to reserves and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89" w:name="page90"/>
    <w:bookmarkEnd w:id="8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Research and Development Expenses</w:t>
      </w:r>
    </w:p>
    <w:p>
      <w:pPr>
        <w:spacing w:after="0" w:line="22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recorded research and development expenses of approximately $7.8 million and $5.2 million in the fiscal years ended March 31, 2018 and 2017, respectively. Research and development expense is composed primarily of employee compensation expenses, including stock–based compensation, direct project expenses, notably including preparations for and the launch of our ELEVATE clinical trial, and costs to maintain and prosecute our intellectual property suite, including new patent applications for AV-101 for various indications.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7"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8"/>
          <w:szCs w:val="18"/>
          <w:color w:val="auto"/>
        </w:rPr>
        <w:t>The provision for income taxes for the periods presented in the Consolidated Statements of Operations and Comprehensive Loss represents minimum California franchise taxes.</w:t>
      </w:r>
    </w:p>
    <w:p>
      <w:pPr>
        <w:spacing w:after="0" w:line="17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was enacted into law, which significantly changes existing U.S. tax law. The reduction of the U.S. federal statutory tax rate from 34% to 21% is effective January 1, 2018. Income tax expense differed from the amounts computed by applying the U.S. federal income tax rate of 34% for April 1, 2017 to December 31, 2017 and 21% for January 1, 2018 to March 31, 2018 for 2018 year (prorated basis 30.75%) to pretax losses as a result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60" w:type="dxa"/>
            <w:vAlign w:val="bottom"/>
            <w:gridSpan w:val="5"/>
          </w:tcPr>
          <w:p>
            <w:pPr>
              <w:ind w:left="28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warrant modifications and other non-deductible items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research and development credits</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Effect of U.S. tax law change (federal and state)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not benefitted</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4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21,402,600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Basis differences in fixed assets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Accruals and reserves</w:t>
            </w:r>
          </w:p>
        </w:tc>
        <w:tc>
          <w:tcPr>
            <w:tcW w:w="4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(25,252,400)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(34,781,700)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4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660" w:type="dxa"/>
            <w:vAlign w:val="bottom"/>
            <w:vMerge w:val="restart"/>
          </w:tcPr>
          <w:p>
            <w:pPr>
              <w:jc w:val="right"/>
              <w:ind w:right="2872"/>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126" w:right="179" w:bottom="1440" w:gutter="0" w:footer="0" w:header="0"/>
        </w:sectPr>
      </w:pPr>
    </w:p>
    <w:bookmarkStart w:id="90" w:name="page91"/>
    <w:bookmarkEnd w:id="9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deferred tax assets have been fully offset by a valuation allowance. The valuation allowance decreased by $9,529,300 and increased by $3,567,000 during the fiscal years ended March 31, 2018 and 2017, respectively.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2018, we had U.S. federal net operating loss carryforwards of approximately $88,477,000, which will expire in fiscal years 2019 through 2038. As of March 31, 2018, we had state net operating loss carryforwards of approximately $63,457,200, which will expire in fiscal years 2029 through 2038. The Company also has federal and state research and development tax credit carryforwards of approximately $979,900 and $826,500, respectively. The federal tax credits will expire at various dates beginning in the year 2029, unless previously utilized. The state tax credits do not expire and will carry forward indefinitely until utilized.</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file income tax returns in the U.S. federal, Canada and various U.S. state jurisdictions. We are subject to U.S. federal and state income tax examinations by tax authorities for tax years 1998 through 2017 due to net operating losses that are being carried forward for tax purposes, but we are not currently under examination by tax authorities in any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unrecognized tax benefits at March 31, 2018 and 2017 relate entirely to research and development tax credits. The total amount of unrecognized tax benefits at March 31, 2018 and 2017 is $451,600 and $290,500, respectively. If recognized, none of the unrecognized tax benefits would impact our effective tax rate. The following table summarizes the activity related to our unrecognized tax benefits.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tax position increases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tax position increases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2018 or 2017. We do not anticipate any significant changes of our uncertain tax positions within twelve months of this reporting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Licensing, Sublicensing and Collaborative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BlueRock Therapeutics Sublicense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we entered into an Exclusive License and Sublicense Agreement (</w:t>
      </w:r>
      <w:r>
        <w:rPr>
          <w:rFonts w:ascii="Times New Roman" w:cs="Times New Roman" w:eastAsia="Times New Roman" w:hAnsi="Times New Roman"/>
          <w:sz w:val="18"/>
          <w:szCs w:val="18"/>
          <w:i w:val="1"/>
          <w:iCs w:val="1"/>
          <w:color w:val="auto"/>
        </w:rPr>
        <w:t>BlueRock Therapeutics Agreement</w:t>
      </w:r>
      <w:r>
        <w:rPr>
          <w:rFonts w:ascii="Times New Roman" w:cs="Times New Roman" w:eastAsia="Times New Roman" w:hAnsi="Times New Roman"/>
          <w:sz w:val="18"/>
          <w:szCs w:val="18"/>
          <w:color w:val="auto"/>
        </w:rPr>
        <w:t>) with BlueRock Therapeutics, LP, a next generation regenerative medicine company established in December 2016 by Bayer AG and Versant Ventures (</w:t>
      </w:r>
      <w:r>
        <w:rPr>
          <w:rFonts w:ascii="Times New Roman" w:cs="Times New Roman" w:eastAsia="Times New Roman" w:hAnsi="Times New Roman"/>
          <w:sz w:val="18"/>
          <w:szCs w:val="18"/>
          <w:i w:val="1"/>
          <w:iCs w:val="1"/>
          <w:color w:val="auto"/>
        </w:rPr>
        <w:t>BlueRock Therapeutics</w:t>
      </w:r>
      <w:r>
        <w:rPr>
          <w:rFonts w:ascii="Times New Roman" w:cs="Times New Roman" w:eastAsia="Times New Roman" w:hAnsi="Times New Roman"/>
          <w:sz w:val="18"/>
          <w:szCs w:val="18"/>
          <w:color w:val="auto"/>
        </w:rPr>
        <w:t>), pursuant to which BlueRock Therapeutics received exclusive rights to utilize certain technologies exclusively licensed by us from University Health Network (</w:t>
      </w:r>
      <w:r>
        <w:rPr>
          <w:rFonts w:ascii="Times New Roman" w:cs="Times New Roman" w:eastAsia="Times New Roman" w:hAnsi="Times New Roman"/>
          <w:sz w:val="18"/>
          <w:szCs w:val="18"/>
          <w:i w:val="1"/>
          <w:iCs w:val="1"/>
          <w:color w:val="auto"/>
        </w:rPr>
        <w:t>UHN</w:t>
      </w:r>
      <w:r>
        <w:rPr>
          <w:rFonts w:ascii="Times New Roman" w:cs="Times New Roman" w:eastAsia="Times New Roman" w:hAnsi="Times New Roman"/>
          <w:sz w:val="18"/>
          <w:szCs w:val="18"/>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BlueRock Therapeutics Agreement, we received an upfront payment of $1.25 million and we have the potential to receive additional milestone payments and royalties in the future, in the event certain performance-based milestones and commercial sales are achieved. At December 31, 2016, we had no further performance obligations under the BlueRock Therapeutics Agreement and, accordingly, we recorded a receivable for the $1.25 million upfront payment with a corresponding recognition of the sublicense revenue. We received the $1.25 million cash payment due under the BlueRock Therapeutics Agreement in January 2017 and recognized $1.25 million in sublicense revenue in the accompanying Consolidated Statement of Operations and Comprehensive Loss for the fiscal year ended March 31, 2017.</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91" w:name="page92"/>
    <w:bookmarkEnd w:id="9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National Institutes of Health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fiscal years 2006 through 2008, the NIH awarded a $4.2 million grant to the Company to support preclinical development of AV-101 for pain. In June 2009, the NIH further awarded the Company a $4.2 million grant to support the Phase I clinical development of AV-101, which amount was subsequently increased to a total of $4.6 million in July 2010. The grant expired in the ordinary course on June 30, 2012 and all funds had been expended. AV-101, our oral NMDAR GlyB antagonist product candidate is currently in Phase 2 development, initially for the adjunctive treatment of MDD in patients with an inadequate response to standard antidepressants. In February 2015, we entered into the CRADA with the NIMH to collaborate on an NIH-sponsored Phase 2 clinical study of the efficacy and safety of AV-101 as a monotherapy in subjects with MDD. The first patient in the NIMH AV-101 MDD Phase 2 Monotherapy Study was dosed in November 2015 and we currently anticipate that the NIMH will complete the study during 2018. We believe AV-101 may also have broad therapeutic utility with multiple near term central nervous system pipeline expansion opportunities, including chronic neuropathic pain, epilepsy, Huntington’s disease and Parkinson’s disease.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Cato Research Ltd.</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built a strategic development relationship with Cato Research Ltd. (</w:t>
      </w:r>
      <w:r>
        <w:rPr>
          <w:rFonts w:ascii="Times New Roman" w:cs="Times New Roman" w:eastAsia="Times New Roman" w:hAnsi="Times New Roman"/>
          <w:sz w:val="18"/>
          <w:szCs w:val="18"/>
          <w:i w:val="1"/>
          <w:iCs w:val="1"/>
          <w:color w:val="auto"/>
        </w:rPr>
        <w:t>CRL</w:t>
      </w:r>
      <w:r>
        <w:rPr>
          <w:rFonts w:ascii="Times New Roman" w:cs="Times New Roman" w:eastAsia="Times New Roman" w:hAnsi="Times New Roman"/>
          <w:sz w:val="18"/>
          <w:szCs w:val="18"/>
          <w:color w:val="auto"/>
        </w:rPr>
        <w:t>), a global contract research and development organization, or CRO, and an affiliate of one of our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$1,390,700 and $254,600 for the fiscal years ended March 31, 2018 and 2017,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Health Network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2007, we entered into a Sponsored Research Collaboration Agreement (</w:t>
      </w:r>
      <w:r>
        <w:rPr>
          <w:rFonts w:ascii="Times New Roman" w:cs="Times New Roman" w:eastAsia="Times New Roman" w:hAnsi="Times New Roman"/>
          <w:sz w:val="18"/>
          <w:szCs w:val="18"/>
          <w:i w:val="1"/>
          <w:iCs w:val="1"/>
          <w:color w:val="auto"/>
        </w:rPr>
        <w:t>SRCA</w:t>
      </w:r>
      <w:r>
        <w:rPr>
          <w:rFonts w:ascii="Times New Roman" w:cs="Times New Roman" w:eastAsia="Times New Roman" w:hAnsi="Times New Roman"/>
          <w:sz w:val="18"/>
          <w:szCs w:val="18"/>
          <w:color w:val="auto"/>
        </w:rPr>
        <w:t>) with University Health Network to develop certain stem cell technologies for drug discovery, development and rescue technologies. Under the terms of the SRCA, we have acquired exclusive worldwide rights to patent applications in the U.S. and foreign countries on multiple inventions arising from studies we have sponsored, under pre-negotiated license terms. Those license terms provide for royalty payments based on product sales that incorporate the licensed technology and milestone payments based on the achievement of certain events. Any drug rescue new chemical entity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The SRCA with UHN, as amended, had a term of ten years, ending in September 2017, but was terminated in December 2016, as described below.</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2016, we entered into a series of agreements with UHN pursuant to which we (i) executed two new exclusive patent license agreements related to certain cardiac stem cell technologies discovered by Dr. Gordon Keller, Director of UHN's McEwen Centre for Regenerative Medicine, under the SRCA; (ii) amended two exclusive cardiac stem cell technology patent license agreements previously entered into between us and UHN under the SRCA; (iii) terminated the SRCA to facilitate the BlueRock Therapeutics Agreement, described above; and (iv) agreed to make a sublicense consideration payment to UHN with respect to the upfront payment we received under the BlueRock Therapeutics Agreement. All financial obligations related to these agreements with UHN, aggregating $3,600 and $233,400, are reflected in research and development expense in the accompanying Consolidated Statement of Operations and Comprehensive Loss for the fiscal years ended March 31, 2018 and 2017,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Option Plans and 401(k)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share-based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2016 Stock Incentive Plan</w:t>
      </w:r>
    </w:p>
    <w:p>
      <w:pPr>
        <w:spacing w:after="0" w:line="22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 xml:space="preserve">Our Board unanimously approved the Company’s Amended and Restated 2016 Stock Incentive Plan, formerly titled the 2008 Stock Incentive Plan (the </w:t>
      </w:r>
      <w:r>
        <w:rPr>
          <w:rFonts w:ascii="Times New Roman" w:cs="Times New Roman" w:eastAsia="Times New Roman" w:hAnsi="Times New Roman"/>
          <w:sz w:val="16"/>
          <w:szCs w:val="16"/>
          <w:i w:val="1"/>
          <w:iCs w:val="1"/>
          <w:color w:val="auto"/>
        </w:rPr>
        <w:t>2016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Plan</w:t>
      </w:r>
      <w:r>
        <w:rPr>
          <w:rFonts w:ascii="Times New Roman" w:cs="Times New Roman" w:eastAsia="Times New Roman" w:hAnsi="Times New Roman"/>
          <w:sz w:val="16"/>
          <w:szCs w:val="16"/>
          <w:color w:val="auto"/>
        </w:rPr>
        <w:t>), on July 26, 2016, and the 2016 Plan was approved by our stockholders at our 2016 Annual Meeting of Stockholders on September 26, 2016, and further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amended at our 2017 Annual Meeting of Stockholders on September 15, 2017. 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Times New Roman" w:cs="Times New Roman" w:eastAsia="Times New Roman" w:hAnsi="Times New Roman"/>
          <w:sz w:val="16"/>
          <w:szCs w:val="16"/>
          <w:i w:val="1"/>
          <w:iCs w:val="1"/>
          <w:color w:val="auto"/>
        </w:rPr>
        <w:t>Code</w:t>
      </w:r>
      <w:r>
        <w:rPr>
          <w:rFonts w:ascii="Times New Roman" w:cs="Times New Roman" w:eastAsia="Times New Roman" w:hAnsi="Times New Roman"/>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 A total of 10.0 million shares of our common stock are currently authorized for issuance under the 2016 Plan and as of March 31, 2018, approximately 4.0 million registered shares remain available for future equity grants under the plan.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1999 Stock Incentive Plan</w:t>
      </w:r>
    </w:p>
    <w:p>
      <w:pPr>
        <w:spacing w:after="0" w:line="22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color w:val="auto"/>
        </w:rPr>
        <w:t xml:space="preserve">Our 1999 Stock Incentive Plan (the </w:t>
      </w:r>
      <w:r>
        <w:rPr>
          <w:rFonts w:ascii="Times New Roman" w:cs="Times New Roman" w:eastAsia="Times New Roman" w:hAnsi="Times New Roman"/>
          <w:sz w:val="16"/>
          <w:szCs w:val="16"/>
          <w:i w:val="1"/>
          <w:iCs w:val="1"/>
          <w:color w:val="auto"/>
        </w:rPr>
        <w:t>1999 Plan</w:t>
      </w:r>
      <w:r>
        <w:rPr>
          <w:rFonts w:ascii="Times New Roman" w:cs="Times New Roman" w:eastAsia="Times New Roman" w:hAnsi="Times New Roman"/>
          <w:sz w:val="16"/>
          <w:szCs w:val="16"/>
          <w:color w:val="auto"/>
        </w:rPr>
        <w:t>) was adopted by the shareholders of VistaStem on December 6, 1999 and we assumed it in connection with our going-public transaction. We initially reserved 45,000 shares for the issuance of awards under the 1999 Plan. The 1999 Plan has terminated under its own terms and, as a result, no awards may currently be granted under the 1999 Plan. At March 31, 2018, no options granted pursuant to the 1999 Plan remain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Compensation Committee of the Board of Directors (the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administers the 2016 Plan, including selecting the Award recipients, determining the number of shares to be subject to each Award, the exercise or purchase price of each Award and the vesting and exercise periods of each Award.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exercise price of all incentive stock options granted under the 2016 Plan must be at least equal to 100% of the fair market value of the shares on the date of grant. The maximum term of an incentive stock option granted to any other participant may not exceed 10 years. The Committee determines the term and exercise or purchase price of all other Awards granted under the 2016 Plan.</w:t>
      </w:r>
    </w:p>
    <w:p>
      <w:pPr>
        <w:spacing w:after="0" w:line="18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7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and by the laws of descent and distribution;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7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a combination of, a number of financial measurements.</w:t>
      </w:r>
    </w:p>
    <w:p>
      <w:pPr>
        <w:spacing w:after="0" w:line="151" w:lineRule="exact"/>
        <w:rPr>
          <w:sz w:val="20"/>
          <w:szCs w:val="20"/>
          <w:color w:val="auto"/>
        </w:rPr>
      </w:pPr>
    </w:p>
    <w:p>
      <w:pPr>
        <w:jc w:val="both"/>
        <w:ind w:firstLine="52"/>
        <w:spacing w:after="0" w:line="289" w:lineRule="auto"/>
        <w:rPr>
          <w:sz w:val="20"/>
          <w:szCs w:val="20"/>
          <w:color w:val="auto"/>
        </w:rPr>
      </w:pPr>
      <w:r>
        <w:rPr>
          <w:rFonts w:ascii="Times New Roman" w:cs="Times New Roman" w:eastAsia="Times New Roman" w:hAnsi="Times New Roman"/>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2016 Plan, a Corporate Transaction is generally defined as:</w:t>
      </w:r>
    </w:p>
    <w:p>
      <w:pPr>
        <w:spacing w:after="0" w:line="225" w:lineRule="exact"/>
        <w:rPr>
          <w:sz w:val="20"/>
          <w:szCs w:val="20"/>
          <w:color w:val="auto"/>
        </w:rPr>
      </w:pPr>
    </w:p>
    <w:p>
      <w:pPr>
        <w:ind w:left="660" w:hanging="328"/>
        <w:spacing w:after="0" w:line="275"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2016 Plan, a Change in Control is generally defined as: (i) the acquisition of more than 50% of the total combined voting power of our stock by any individual or entity which a majority of our Board (who have served on our board for at least 12 months) do not recommend our stockholders accept; (ii) or a change in the composition of our Board over a period of 12 months or less.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terminated sooner, the 2016 Plan will automatically terminate in 2026. Our Board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March 31, 2018, we granted from the 2016 Plan:</w:t>
      </w:r>
    </w:p>
    <w:p>
      <w:pPr>
        <w:spacing w:after="0" w:line="225" w:lineRule="exact"/>
        <w:rPr>
          <w:sz w:val="20"/>
          <w:szCs w:val="20"/>
          <w:color w:val="auto"/>
        </w:rPr>
      </w:pPr>
    </w:p>
    <w:p>
      <w:pPr>
        <w:ind w:left="660" w:hanging="328"/>
        <w:spacing w:after="0" w:line="25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880,000 shares of our common stock at an exercise price of $1.96 per share to the independent members of our Board and to our officers and all non-officer employees in April 2017;</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770,000 shares of our common stock at an exercise price of $1.56 per share to the independent members of our Board, officers, non-officer employees and two consultants in September 2017;</w:t>
      </w:r>
    </w:p>
    <w:p>
      <w:pPr>
        <w:ind w:left="660" w:hanging="328"/>
        <w:spacing w:after="0" w:line="250"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2,000,000 shares of our common stock at an exercise price of $1.16 per share to the independent members of our Board, officers, non-officer employees and ten consultants in February 2018;</w:t>
      </w: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25,000 shares of our common stock at an exercise price of $1.21 per share to a legal services consultant in February 2018;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547,500 shares of unregistered common stock to various legal, investor relations, and financial and strategic advisory consultants in September and October 2017 pursuant to which we recognized an aggregate of $827,900 as a noncash component of general and administrative expense not included in stock compensation expense for the fiscal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March 31, 2017, we granted from the 2016 Plan:</w:t>
      </w:r>
    </w:p>
    <w:p>
      <w:pPr>
        <w:spacing w:after="0" w:line="225" w:lineRule="exact"/>
        <w:rPr>
          <w:sz w:val="20"/>
          <w:szCs w:val="20"/>
          <w:color w:val="auto"/>
        </w:rPr>
      </w:pPr>
    </w:p>
    <w:p>
      <w:pPr>
        <w:ind w:left="660" w:hanging="328"/>
        <w:spacing w:after="0" w:line="257"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655,000 shares of our common stock at an exercise price of $3.49 per share to the independent members of our Board and to our officers, including one newly-employed officer, in June 2016;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125,000 shares of our common stock at an exercise price of $4.27 per share to a newly-employed officer in September 2016</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an aggregate of 560,000 shares of our common stock at an exercise price of $3.80 per share to the independent members of our Board, officers, non-officer employees and a consultant in November 2016; and</w:t>
      </w:r>
    </w:p>
    <w:p>
      <w:pPr>
        <w:jc w:val="both"/>
        <w:ind w:left="660" w:hanging="328"/>
        <w:spacing w:after="0" w:line="25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150,000 unregistered shares of our common stock pursuant to four consulting agreements in March 2017 pursuant to which we recognized an aggregate of $324,500 as a noncash component of general and administrative expense not included in stock compensation expense for the fiscal year.</w:t>
      </w:r>
    </w:p>
    <w:p>
      <w:pPr>
        <w:spacing w:after="0" w:line="1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summarizes share-based compensation expense related to option grants to our officers, independent directors, consultants and service providers, included in the accompanying Consolidated Statement of Operations and Comprehensive Loss for the years ended March 31, 2018 and 2017.</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r>
      <w:tr>
        <w:trPr>
          <w:trHeight w:val="223"/>
        </w:trPr>
        <w:tc>
          <w:tcPr>
            <w:tcW w:w="8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r>
      <w:tr>
        <w:trPr>
          <w:trHeight w:val="241"/>
        </w:trPr>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8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969,200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375,100</w:t>
            </w:r>
          </w:p>
        </w:tc>
        <w:tc>
          <w:tcPr>
            <w:tcW w:w="140" w:type="dxa"/>
            <w:vAlign w:val="bottom"/>
            <w:shd w:val="clear" w:color="auto" w:fill="CCEEFF"/>
          </w:tcPr>
          <w:p>
            <w:pPr>
              <w:spacing w:after="0"/>
              <w:rPr>
                <w:sz w:val="19"/>
                <w:szCs w:val="19"/>
                <w:color w:val="auto"/>
              </w:rPr>
            </w:pPr>
          </w:p>
        </w:tc>
      </w:tr>
      <w:tr>
        <w:trPr>
          <w:trHeight w:val="223"/>
        </w:trPr>
        <w:tc>
          <w:tcPr>
            <w:tcW w:w="88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used the Black-Scholes Option Pricing model with the following weighted average assumptions to determine share-based compensation expense related to option grants during the fiscal years ended March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34"/>
              <w:spacing w:after="0"/>
              <w:rPr>
                <w:sz w:val="20"/>
                <w:szCs w:val="20"/>
                <w:color w:val="auto"/>
              </w:rPr>
            </w:pPr>
            <w:r>
              <w:rPr>
                <w:rFonts w:ascii="Times New Roman" w:cs="Times New Roman" w:eastAsia="Times New Roman" w:hAnsi="Times New Roman"/>
                <w:sz w:val="15"/>
                <w:szCs w:val="15"/>
                <w:b w:val="1"/>
                <w:bCs w:val="1"/>
                <w:color w:val="auto"/>
                <w:w w:val="99"/>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line="201" w:lineRule="exact"/>
              <w:rPr>
                <w:sz w:val="20"/>
                <w:szCs w:val="20"/>
                <w:color w:val="auto"/>
              </w:rPr>
            </w:pPr>
            <w:r>
              <w:rPr>
                <w:rFonts w:ascii="Times New Roman" w:cs="Times New Roman" w:eastAsia="Times New Roman" w:hAnsi="Times New Roman"/>
                <w:sz w:val="18"/>
                <w:szCs w:val="18"/>
                <w:color w:val="auto"/>
                <w:w w:val="97"/>
              </w:rPr>
              <w:t>(weighted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4"/>
              <w:spacing w:after="0" w:line="201"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average)</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on date of grant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 at grant date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Times New Roman" w:cs="Times New Roman" w:eastAsia="Times New Roman" w:hAnsi="Times New Roman"/>
          <w:sz w:val="18"/>
          <w:szCs w:val="18"/>
          <w:i w:val="1"/>
          <w:iCs w:val="1"/>
          <w:color w:val="auto"/>
        </w:rPr>
        <w:t>SAB No. 107 and 110</w:t>
      </w:r>
      <w:r>
        <w:rPr>
          <w:rFonts w:ascii="Times New Roman" w:cs="Times New Roman" w:eastAsia="Times New Roman" w:hAnsi="Times New Roman"/>
          <w:sz w:val="18"/>
          <w:szCs w:val="18"/>
          <w:color w:val="auto"/>
        </w:rPr>
        <w:t>). The utilization of SAB No. 107 and 110 is based on the lack of relevant historical data due to both our limited historical experience as a publicly traded company as well as the historical lack of liquidity resulting from the limited number of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recognize the effect of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5" w:name="page96"/>
    <w:bookmarkEnd w:id="9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for the fiscal years ended March 31, 2018 and 2017 under our stock option plans: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Fiscal Years Ended March 31,</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5"/>
                <w:szCs w:val="15"/>
                <w:b w:val="1"/>
                <w:bCs w:val="1"/>
                <w:color w:val="auto"/>
              </w:rPr>
              <w:t>2018</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2017</w:t>
            </w:r>
          </w:p>
        </w:tc>
        <w:tc>
          <w:tcPr>
            <w:tcW w:w="9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Weighted</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80" w:type="dxa"/>
            <w:vAlign w:val="bottom"/>
          </w:tcPr>
          <w:p>
            <w:pPr>
              <w:spacing w:after="0"/>
              <w:rPr>
                <w:sz w:val="18"/>
                <w:szCs w:val="18"/>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2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Exercise</w:t>
            </w:r>
          </w:p>
        </w:tc>
      </w:tr>
      <w:tr>
        <w:trPr>
          <w:trHeight w:val="206"/>
        </w:trPr>
        <w:tc>
          <w:tcPr>
            <w:tcW w:w="6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7"/>
                <w:szCs w:val="17"/>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Price</w:t>
            </w:r>
          </w:p>
        </w:tc>
        <w:tc>
          <w:tcPr>
            <w:tcW w:w="260" w:type="dxa"/>
            <w:vAlign w:val="bottom"/>
          </w:tcPr>
          <w:p>
            <w:pPr>
              <w:spacing w:after="0"/>
              <w:rPr>
                <w:sz w:val="17"/>
                <w:szCs w:val="17"/>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Price</w:t>
            </w:r>
          </w:p>
        </w:tc>
      </w:tr>
      <w:tr>
        <w:trPr>
          <w:trHeight w:val="243"/>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Options outstanding at beginning of period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3,675,000</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forfeited</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Options expired</w:t>
            </w:r>
          </w:p>
        </w:tc>
        <w:tc>
          <w:tcPr>
            <w:tcW w:w="1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Options outstanding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5,300,338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1,659,324</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exercisable at end of period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1,818,962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351,532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06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Weighted average grant-date fair value of</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granted during the period</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and exercisable under our stock option plans as of March 31,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920" w:type="dxa"/>
            <w:vAlign w:val="bottom"/>
          </w:tcPr>
          <w:p>
            <w:pPr>
              <w:jc w:val="center"/>
              <w:ind w:left="260"/>
              <w:spacing w:after="0"/>
              <w:rPr>
                <w:sz w:val="20"/>
                <w:szCs w:val="20"/>
                <w:color w:val="auto"/>
              </w:rPr>
            </w:pPr>
            <w:r>
              <w:rPr>
                <w:rFonts w:ascii="Times New Roman" w:cs="Times New Roman" w:eastAsia="Times New Roman" w:hAnsi="Times New Roman"/>
                <w:sz w:val="15"/>
                <w:szCs w:val="15"/>
                <w:b w:val="1"/>
                <w:bCs w:val="1"/>
                <w:color w:val="auto"/>
                <w:w w:val="99"/>
              </w:rPr>
              <w:t>Options Outstanding</w:t>
            </w:r>
          </w:p>
        </w:tc>
        <w:tc>
          <w:tcPr>
            <w:tcW w:w="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Options Exercisable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jc w:val="center"/>
              <w:ind w:left="320"/>
              <w:spacing w:after="0" w:line="162" w:lineRule="exact"/>
              <w:rPr>
                <w:sz w:val="20"/>
                <w:szCs w:val="20"/>
                <w:color w:val="auto"/>
              </w:rPr>
            </w:pPr>
            <w:r>
              <w:rPr>
                <w:rFonts w:ascii="Times New Roman" w:cs="Times New Roman" w:eastAsia="Times New Roman" w:hAnsi="Times New Roman"/>
                <w:sz w:val="15"/>
                <w:szCs w:val="15"/>
                <w:b w:val="1"/>
                <w:bCs w:val="1"/>
                <w:color w:val="auto"/>
                <w:w w:val="97"/>
              </w:rPr>
              <w:t>Weighted</w:t>
            </w: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jc w:val="center"/>
              <w:ind w:left="300"/>
              <w:spacing w:after="0" w:line="162" w:lineRule="exact"/>
              <w:rPr>
                <w:sz w:val="20"/>
                <w:szCs w:val="20"/>
                <w:color w:val="auto"/>
              </w:rPr>
            </w:pPr>
            <w:r>
              <w:rPr>
                <w:rFonts w:ascii="Times New Roman" w:cs="Times New Roman" w:eastAsia="Times New Roman" w:hAnsi="Times New Roman"/>
                <w:sz w:val="15"/>
                <w:szCs w:val="15"/>
                <w:b w:val="1"/>
                <w:bCs w:val="1"/>
                <w:color w:val="auto"/>
                <w:w w:val="93"/>
              </w:rPr>
              <w:t>Average</w:t>
            </w:r>
          </w:p>
        </w:tc>
        <w:tc>
          <w:tcPr>
            <w:tcW w:w="640" w:type="dxa"/>
            <w:vAlign w:val="bottom"/>
          </w:tcPr>
          <w:p>
            <w:pPr>
              <w:spacing w:after="0"/>
              <w:rPr>
                <w:sz w:val="14"/>
                <w:szCs w:val="14"/>
                <w:color w:val="auto"/>
              </w:rPr>
            </w:pPr>
          </w:p>
        </w:tc>
        <w:tc>
          <w:tcPr>
            <w:tcW w:w="1620" w:type="dxa"/>
            <w:vAlign w:val="bottom"/>
          </w:tcPr>
          <w:p>
            <w:pPr>
              <w:jc w:val="center"/>
              <w:ind w:right="538"/>
              <w:spacing w:after="0" w:line="162" w:lineRule="exact"/>
              <w:rPr>
                <w:sz w:val="20"/>
                <w:szCs w:val="20"/>
                <w:color w:val="auto"/>
              </w:rPr>
            </w:pPr>
            <w:r>
              <w:rPr>
                <w:rFonts w:ascii="Times New Roman" w:cs="Times New Roman" w:eastAsia="Times New Roman" w:hAnsi="Times New Roman"/>
                <w:sz w:val="15"/>
                <w:szCs w:val="15"/>
                <w:b w:val="1"/>
                <w:bCs w:val="1"/>
                <w:color w:val="auto"/>
                <w:w w:val="97"/>
              </w:rPr>
              <w:t>Weighted</w:t>
            </w: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center"/>
              <w:ind w:right="538"/>
              <w:spacing w:after="0" w:line="162" w:lineRule="exact"/>
              <w:rPr>
                <w:sz w:val="20"/>
                <w:szCs w:val="20"/>
                <w:color w:val="auto"/>
              </w:rPr>
            </w:pPr>
            <w:r>
              <w:rPr>
                <w:rFonts w:ascii="Times New Roman" w:cs="Times New Roman" w:eastAsia="Times New Roman" w:hAnsi="Times New Roman"/>
                <w:sz w:val="15"/>
                <w:szCs w:val="15"/>
                <w:b w:val="1"/>
                <w:bCs w:val="1"/>
                <w:color w:val="auto"/>
                <w:w w:val="97"/>
              </w:rPr>
              <w:t>Weighted</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jc w:val="center"/>
              <w:ind w:left="3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Remaining</w:t>
            </w:r>
          </w:p>
        </w:tc>
        <w:tc>
          <w:tcPr>
            <w:tcW w:w="640" w:type="dxa"/>
            <w:vAlign w:val="bottom"/>
          </w:tcPr>
          <w:p>
            <w:pPr>
              <w:spacing w:after="0"/>
              <w:rPr>
                <w:sz w:val="14"/>
                <w:szCs w:val="14"/>
                <w:color w:val="auto"/>
              </w:rPr>
            </w:pPr>
          </w:p>
        </w:tc>
        <w:tc>
          <w:tcPr>
            <w:tcW w:w="1620" w:type="dxa"/>
            <w:vAlign w:val="bottom"/>
          </w:tcPr>
          <w:p>
            <w:pPr>
              <w:jc w:val="center"/>
              <w:ind w:right="538"/>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center"/>
              <w:ind w:right="538"/>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1580" w:type="dxa"/>
            <w:vAlign w:val="bottom"/>
          </w:tcPr>
          <w:p>
            <w:pPr>
              <w:jc w:val="right"/>
              <w:ind w:right="757"/>
              <w:spacing w:after="0" w:line="162" w:lineRule="exact"/>
              <w:rPr>
                <w:sz w:val="20"/>
                <w:szCs w:val="20"/>
                <w:color w:val="auto"/>
              </w:rPr>
            </w:pPr>
            <w:r>
              <w:rPr>
                <w:rFonts w:ascii="Times New Roman" w:cs="Times New Roman" w:eastAsia="Times New Roman" w:hAnsi="Times New Roman"/>
                <w:sz w:val="15"/>
                <w:szCs w:val="15"/>
                <w:b w:val="1"/>
                <w:bCs w:val="1"/>
                <w:color w:val="auto"/>
              </w:rPr>
              <w:t>Exercise</w:t>
            </w:r>
          </w:p>
        </w:tc>
        <w:tc>
          <w:tcPr>
            <w:tcW w:w="1540" w:type="dxa"/>
            <w:vAlign w:val="bottom"/>
          </w:tcPr>
          <w:p>
            <w:pPr>
              <w:jc w:val="right"/>
              <w:ind w:right="396"/>
              <w:spacing w:after="0" w:line="162" w:lineRule="exact"/>
              <w:rPr>
                <w:sz w:val="20"/>
                <w:szCs w:val="20"/>
                <w:color w:val="auto"/>
              </w:rPr>
            </w:pPr>
            <w:r>
              <w:rPr>
                <w:rFonts w:ascii="Times New Roman" w:cs="Times New Roman" w:eastAsia="Times New Roman" w:hAnsi="Times New Roman"/>
                <w:sz w:val="15"/>
                <w:szCs w:val="15"/>
                <w:b w:val="1"/>
                <w:bCs w:val="1"/>
                <w:color w:val="auto"/>
              </w:rPr>
              <w:t>Number</w:t>
            </w:r>
          </w:p>
        </w:tc>
        <w:tc>
          <w:tcPr>
            <w:tcW w:w="1920" w:type="dxa"/>
            <w:vAlign w:val="bottom"/>
          </w:tcPr>
          <w:p>
            <w:pPr>
              <w:jc w:val="center"/>
              <w:ind w:left="300"/>
              <w:spacing w:after="0" w:line="162" w:lineRule="exact"/>
              <w:rPr>
                <w:sz w:val="20"/>
                <w:szCs w:val="20"/>
                <w:color w:val="auto"/>
              </w:rPr>
            </w:pPr>
            <w:r>
              <w:rPr>
                <w:rFonts w:ascii="Times New Roman" w:cs="Times New Roman" w:eastAsia="Times New Roman" w:hAnsi="Times New Roman"/>
                <w:sz w:val="15"/>
                <w:szCs w:val="15"/>
                <w:b w:val="1"/>
                <w:bCs w:val="1"/>
                <w:color w:val="auto"/>
                <w:w w:val="98"/>
              </w:rPr>
              <w:t>Years until</w:t>
            </w:r>
          </w:p>
        </w:tc>
        <w:tc>
          <w:tcPr>
            <w:tcW w:w="640" w:type="dxa"/>
            <w:vAlign w:val="bottom"/>
          </w:tcPr>
          <w:p>
            <w:pPr>
              <w:spacing w:after="0"/>
              <w:rPr>
                <w:sz w:val="14"/>
                <w:szCs w:val="14"/>
                <w:color w:val="auto"/>
              </w:rPr>
            </w:pPr>
          </w:p>
        </w:tc>
        <w:tc>
          <w:tcPr>
            <w:tcW w:w="1620" w:type="dxa"/>
            <w:vAlign w:val="bottom"/>
          </w:tcPr>
          <w:p>
            <w:pPr>
              <w:jc w:val="center"/>
              <w:ind w:right="538"/>
              <w:spacing w:after="0" w:line="162" w:lineRule="exact"/>
              <w:rPr>
                <w:sz w:val="20"/>
                <w:szCs w:val="20"/>
                <w:color w:val="auto"/>
              </w:rPr>
            </w:pPr>
            <w:r>
              <w:rPr>
                <w:rFonts w:ascii="Times New Roman" w:cs="Times New Roman" w:eastAsia="Times New Roman" w:hAnsi="Times New Roman"/>
                <w:sz w:val="15"/>
                <w:szCs w:val="15"/>
                <w:b w:val="1"/>
                <w:bCs w:val="1"/>
                <w:color w:val="auto"/>
                <w:w w:val="95"/>
              </w:rPr>
              <w:t>Exercise</w:t>
            </w:r>
          </w:p>
        </w:tc>
        <w:tc>
          <w:tcPr>
            <w:tcW w:w="1520" w:type="dxa"/>
            <w:vAlign w:val="bottom"/>
          </w:tcPr>
          <w:p>
            <w:pPr>
              <w:jc w:val="right"/>
              <w:ind w:right="397"/>
              <w:spacing w:after="0" w:line="162" w:lineRule="exact"/>
              <w:rPr>
                <w:sz w:val="20"/>
                <w:szCs w:val="20"/>
                <w:color w:val="auto"/>
              </w:rPr>
            </w:pPr>
            <w:r>
              <w:rPr>
                <w:rFonts w:ascii="Times New Roman" w:cs="Times New Roman" w:eastAsia="Times New Roman" w:hAnsi="Times New Roman"/>
                <w:sz w:val="15"/>
                <w:szCs w:val="15"/>
                <w:b w:val="1"/>
                <w:bCs w:val="1"/>
                <w:color w:val="auto"/>
              </w:rPr>
              <w:t>Number</w:t>
            </w:r>
          </w:p>
        </w:tc>
        <w:tc>
          <w:tcPr>
            <w:tcW w:w="840" w:type="dxa"/>
            <w:vAlign w:val="bottom"/>
          </w:tcPr>
          <w:p>
            <w:pPr>
              <w:spacing w:after="0"/>
              <w:rPr>
                <w:sz w:val="14"/>
                <w:szCs w:val="14"/>
                <w:color w:val="auto"/>
              </w:rPr>
            </w:pPr>
          </w:p>
        </w:tc>
        <w:tc>
          <w:tcPr>
            <w:tcW w:w="1260" w:type="dxa"/>
            <w:vAlign w:val="bottom"/>
          </w:tcPr>
          <w:p>
            <w:pPr>
              <w:jc w:val="center"/>
              <w:ind w:right="518"/>
              <w:spacing w:after="0" w:line="162"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580" w:type="dxa"/>
            <w:vAlign w:val="bottom"/>
          </w:tcPr>
          <w:p>
            <w:pPr>
              <w:jc w:val="right"/>
              <w:ind w:right="857"/>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54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920" w:type="dxa"/>
            <w:vAlign w:val="bottom"/>
          </w:tcPr>
          <w:p>
            <w:pPr>
              <w:jc w:val="center"/>
              <w:ind w:left="320"/>
              <w:spacing w:after="0"/>
              <w:rPr>
                <w:sz w:val="20"/>
                <w:szCs w:val="20"/>
                <w:color w:val="auto"/>
              </w:rPr>
            </w:pPr>
            <w:r>
              <w:rPr>
                <w:rFonts w:ascii="Times New Roman" w:cs="Times New Roman" w:eastAsia="Times New Roman" w:hAnsi="Times New Roman"/>
                <w:sz w:val="15"/>
                <w:szCs w:val="15"/>
                <w:b w:val="1"/>
                <w:bCs w:val="1"/>
                <w:color w:val="auto"/>
                <w:w w:val="98"/>
              </w:rPr>
              <w:t>Expiration</w:t>
            </w:r>
          </w:p>
        </w:tc>
        <w:tc>
          <w:tcPr>
            <w:tcW w:w="640" w:type="dxa"/>
            <w:vAlign w:val="bottom"/>
          </w:tcPr>
          <w:p>
            <w:pPr>
              <w:spacing w:after="0"/>
              <w:rPr>
                <w:sz w:val="17"/>
                <w:szCs w:val="17"/>
                <w:color w:val="auto"/>
              </w:rPr>
            </w:pPr>
          </w:p>
        </w:tc>
        <w:tc>
          <w:tcPr>
            <w:tcW w:w="1620" w:type="dxa"/>
            <w:vAlign w:val="bottom"/>
          </w:tcPr>
          <w:p>
            <w:pPr>
              <w:jc w:val="center"/>
              <w:ind w:right="538"/>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152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Exercisable</w:t>
            </w:r>
          </w:p>
        </w:tc>
        <w:tc>
          <w:tcPr>
            <w:tcW w:w="840" w:type="dxa"/>
            <w:vAlign w:val="bottom"/>
          </w:tcPr>
          <w:p>
            <w:pPr>
              <w:spacing w:after="0"/>
              <w:rPr>
                <w:sz w:val="17"/>
                <w:szCs w:val="17"/>
                <w:color w:val="auto"/>
              </w:rPr>
            </w:pPr>
          </w:p>
        </w:tc>
        <w:tc>
          <w:tcPr>
            <w:tcW w:w="1260" w:type="dxa"/>
            <w:vAlign w:val="bottom"/>
          </w:tcPr>
          <w:p>
            <w:pPr>
              <w:jc w:val="center"/>
              <w:ind w:right="518"/>
              <w:spacing w:after="0"/>
              <w:rPr>
                <w:sz w:val="20"/>
                <w:szCs w:val="20"/>
                <w:color w:val="auto"/>
              </w:rPr>
            </w:pPr>
            <w:r>
              <w:rPr>
                <w:rFonts w:ascii="Times New Roman" w:cs="Times New Roman" w:eastAsia="Times New Roman" w:hAnsi="Times New Roman"/>
                <w:sz w:val="15"/>
                <w:szCs w:val="15"/>
                <w:b w:val="1"/>
                <w:bCs w:val="1"/>
                <w:color w:val="auto"/>
              </w:rPr>
              <w:t>Price</w:t>
            </w:r>
          </w:p>
        </w:tc>
        <w:tc>
          <w:tcPr>
            <w:tcW w:w="0" w:type="dxa"/>
            <w:vAlign w:val="bottom"/>
          </w:tcPr>
          <w:p>
            <w:pPr>
              <w:spacing w:after="0"/>
              <w:rPr>
                <w:sz w:val="1"/>
                <w:szCs w:val="1"/>
                <w:color w:val="auto"/>
              </w:rPr>
            </w:pPr>
          </w:p>
        </w:tc>
      </w:tr>
      <w:tr>
        <w:trPr>
          <w:trHeight w:val="226"/>
        </w:trPr>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1.16 to $1.21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1.16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569,524</w:t>
            </w:r>
          </w:p>
        </w:tc>
        <w:tc>
          <w:tcPr>
            <w:tcW w:w="8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1.56 to $1.96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1.77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384,986</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3.49 to $4.27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3.69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577,870</w:t>
            </w:r>
          </w:p>
        </w:tc>
        <w:tc>
          <w:tcPr>
            <w:tcW w:w="8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8.00 to $15.00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295,338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9.19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286,582</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5,300,338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2.43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1,818,962</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w w:val="99"/>
              </w:rPr>
              <w:t>-94-</w:t>
            </w:r>
          </w:p>
        </w:tc>
        <w:tc>
          <w:tcPr>
            <w:tcW w:w="1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6" w:name="page97"/>
    <w:bookmarkEnd w:id="9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March 31, 2018, there were 3,987,162 registered shares of our common stock remaining available for grant under the 2016 Plan. There were no option exercises during the years ended March 31, 2018 or 2017.</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Aggregate intrinsic value is the sum of the amount by which the fair value of the underlying common stock exceeds the aggregate exercise price of the outstanding options (</w:t>
      </w:r>
      <w:r>
        <w:rPr>
          <w:rFonts w:ascii="Times New Roman" w:cs="Times New Roman" w:eastAsia="Times New Roman" w:hAnsi="Times New Roman"/>
          <w:sz w:val="18"/>
          <w:szCs w:val="18"/>
          <w:i w:val="1"/>
          <w:iCs w:val="1"/>
          <w:color w:val="auto"/>
        </w:rPr>
        <w:t>in-the-money-options</w:t>
      </w:r>
      <w:r>
        <w:rPr>
          <w:rFonts w:ascii="Times New Roman" w:cs="Times New Roman" w:eastAsia="Times New Roman" w:hAnsi="Times New Roman"/>
          <w:sz w:val="18"/>
          <w:szCs w:val="18"/>
          <w:color w:val="auto"/>
        </w:rPr>
        <w:t>). Based on the $0.93 per share quoted market price of our common stock on March 31, 2018, there was no intrinsic value in any of our outstanding options at that date.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March 31, 2018, there was approximately $4,492,300 of unrecognized compensation cost related to non-vested share-based compensation awards from the 2016 Plan, which is expected to be recognized through September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Cato Holding Company (</w:t>
      </w:r>
      <w:r>
        <w:rPr>
          <w:rFonts w:ascii="Times New Roman" w:cs="Times New Roman" w:eastAsia="Times New Roman" w:hAnsi="Times New Roman"/>
          <w:sz w:val="18"/>
          <w:szCs w:val="18"/>
          <w:i w:val="1"/>
          <w:iCs w:val="1"/>
          <w:color w:val="auto"/>
        </w:rPr>
        <w:t>CHC</w:t>
      </w:r>
      <w:r>
        <w:rPr>
          <w:rFonts w:ascii="Times New Roman" w:cs="Times New Roman" w:eastAsia="Times New Roman" w:hAnsi="Times New Roman"/>
          <w:sz w:val="18"/>
          <w:szCs w:val="18"/>
          <w:color w:val="auto"/>
        </w:rPr>
        <w:t>), doing business as Cato BioVentures (</w:t>
      </w:r>
      <w:r>
        <w:rPr>
          <w:rFonts w:ascii="Times New Roman" w:cs="Times New Roman" w:eastAsia="Times New Roman" w:hAnsi="Times New Roman"/>
          <w:sz w:val="18"/>
          <w:szCs w:val="18"/>
          <w:i w:val="1"/>
          <w:iCs w:val="1"/>
          <w:color w:val="auto"/>
        </w:rPr>
        <w:t>CBV</w:t>
      </w:r>
      <w:r>
        <w:rPr>
          <w:rFonts w:ascii="Times New Roman" w:cs="Times New Roman" w:eastAsia="Times New Roman" w:hAnsi="Times New Roman"/>
          <w:sz w:val="18"/>
          <w:szCs w:val="18"/>
          <w:color w:val="auto"/>
        </w:rPr>
        <w:t>), is the parent of CRL. CRL is a contract research, development and regulatory services organization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xml:space="preserve">) engaged by us for certain aspects of the development and regulatory affairs associated with AV-101. CBV is among our largest institutional stockholders at March 31, 2017, holding approximately 6.9% of our outstanding common stock. In October 2012, we issued certain unsecured promissory notes in the aggregate face amount of approximately $1.3 million to CBV and CRL (the </w:t>
      </w:r>
      <w:r>
        <w:rPr>
          <w:rFonts w:ascii="Times New Roman" w:cs="Times New Roman" w:eastAsia="Times New Roman" w:hAnsi="Times New Roman"/>
          <w:sz w:val="18"/>
          <w:szCs w:val="18"/>
          <w:i w:val="1"/>
          <w:iCs w:val="1"/>
          <w:color w:val="auto"/>
        </w:rPr>
        <w:t>Cato Notes</w:t>
      </w:r>
      <w:r>
        <w:rPr>
          <w:rFonts w:ascii="Times New Roman" w:cs="Times New Roman" w:eastAsia="Times New Roman" w:hAnsi="Times New Roman"/>
          <w:sz w:val="18"/>
          <w:szCs w:val="18"/>
          <w:color w:val="auto"/>
        </w:rPr>
        <w:t>) as payment in full for all contract research and development services and regulatory advice previously rendered to us by CRL.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2017, we entered into a Master Services Agreement (</w:t>
      </w:r>
      <w:r>
        <w:rPr>
          <w:rFonts w:ascii="Times New Roman" w:cs="Times New Roman" w:eastAsia="Times New Roman" w:hAnsi="Times New Roman"/>
          <w:sz w:val="18"/>
          <w:szCs w:val="18"/>
          <w:i w:val="1"/>
          <w:iCs w:val="1"/>
          <w:color w:val="auto"/>
        </w:rPr>
        <w:t>MSA</w:t>
      </w:r>
      <w:r>
        <w:rPr>
          <w:rFonts w:ascii="Times New Roman" w:cs="Times New Roman" w:eastAsia="Times New Roman" w:hAnsi="Times New Roman"/>
          <w:sz w:val="18"/>
          <w:szCs w:val="18"/>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May 2007 master services agreement with CRL, we incurred expenses of $1,390,700 and $254,600 during the fiscal years ended March 31, 2018 and 2017, respectively. During our fiscal year ended March 31, 2018, we issued an aggregate of 350,000 unregistered shares of our common stock to CRL under the terms of certain work orders for current and future CRO services relating to our development of AV-101 for MDD, the fair value of which represented approximately $465,000 of the reported CRO expense for the fiscal year. We anticipate periodic expenses for CRO services from CRL related to nonclinical and clinical development of, and regulatory affairs related to, AV-101 and other potential product candidates will increase in future periods.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Contingencies, Guarantees and Indemnifications</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2018 or 2017.</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2018 or 2017.</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97" w:name="page98"/>
    <w:bookmarkEnd w:id="9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2018 and 2017, the following assets are subject to capital lease obligations and included in property and equipment: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0" w:type="dxa"/>
            <w:vAlign w:val="bottom"/>
          </w:tcPr>
          <w:p>
            <w:pPr>
              <w:spacing w:after="0"/>
              <w:rPr>
                <w:sz w:val="1"/>
                <w:szCs w:val="1"/>
                <w:color w:val="auto"/>
              </w:rPr>
            </w:pPr>
          </w:p>
        </w:tc>
      </w:tr>
      <w:tr>
        <w:trPr>
          <w:trHeight w:val="206"/>
        </w:trPr>
        <w:tc>
          <w:tcPr>
            <w:tcW w:w="4960" w:type="dxa"/>
            <w:vAlign w:val="bottom"/>
            <w:gridSpan w:val="2"/>
            <w:vMerge w:val="continue"/>
          </w:tcPr>
          <w:p>
            <w:pPr>
              <w:spacing w:after="0"/>
              <w:rPr>
                <w:sz w:val="17"/>
                <w:szCs w:val="17"/>
                <w:color w:val="auto"/>
              </w:rPr>
            </w:pPr>
          </w:p>
        </w:tc>
        <w:tc>
          <w:tcPr>
            <w:tcW w:w="5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imputed interest included in minimum lease payments</w:t>
            </w:r>
          </w:p>
        </w:tc>
        <w:tc>
          <w:tcPr>
            <w:tcW w:w="5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5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capital lease obligation</w:t>
            </w:r>
          </w:p>
        </w:tc>
        <w:tc>
          <w:tcPr>
            <w:tcW w:w="5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4940" w:type="dxa"/>
            <w:vAlign w:val="bottom"/>
            <w:tcBorders>
              <w:top w:val="single" w:sz="8" w:color="CCEEFF"/>
              <w:bottom w:val="single" w:sz="8" w:color="auto"/>
            </w:tcBorders>
          </w:tcPr>
          <w:p>
            <w:pPr>
              <w:spacing w:after="0"/>
              <w:rPr>
                <w:sz w:val="24"/>
                <w:szCs w:val="24"/>
                <w:color w:val="auto"/>
              </w:rPr>
            </w:pPr>
          </w:p>
        </w:tc>
        <w:tc>
          <w:tcPr>
            <w:tcW w:w="5240" w:type="dxa"/>
            <w:vAlign w:val="bottom"/>
            <w:tcBorders>
              <w:top w:val="single" w:sz="8" w:color="CCEEFF"/>
              <w:bottom w:val="single" w:sz="8" w:color="auto"/>
            </w:tcBorders>
          </w:tcPr>
          <w:p>
            <w:pPr>
              <w:jc w:val="right"/>
              <w:ind w:right="4252"/>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8" w:name="page99"/>
    <w:bookmarkEnd w:id="9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March 31, 2018, future minimum payments under operating leases relate to our facility lease in South San Francisco, California through July 31, 2022 and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Years Ending March 31,</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2,766,200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total facility rent expense for the fiscal years ended March 31, 2018 and 2017 of $645,800 and $482,100,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Repayment</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March 31, 2018, future minimum principal payments on outstanding notes related only to an insurance premium financing arrangement in the remaining principal amount of $53,900, which will be repaid in monthly principal and interest installments of $6,200 through December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have evaluated subsequent events through the date of this Report and have identified the following material events and transactions that occurred after March 31, 2018: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to Professional Services Providers</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April 2018, we issued 25,000 unregistered shares of our common stock to a consultant pursuant to a financial advisory services contract. The common stock had a fair value of $24,000 on the date issued. In May 2018, we issued 75,000 unregistered shares of our common stock pursuant to an additional financial advisory services contract. The common stock had a fair value of $99,000 on the date issued.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Financial Information (Unaudited)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statements of operations data for each of the eight quarters in the period ended March 31, 2018.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9" w:name="page100"/>
    <w:bookmarkEnd w:id="9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Quarterly Results of Operations (Unaudited)</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5"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2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12"/>
                <w:szCs w:val="12"/>
                <w:color w:val="auto"/>
              </w:rPr>
            </w:pPr>
          </w:p>
        </w:tc>
        <w:tc>
          <w:tcPr>
            <w:tcW w:w="840" w:type="dxa"/>
            <w:vAlign w:val="bottom"/>
          </w:tcPr>
          <w:p>
            <w:pPr>
              <w:jc w:val="right"/>
              <w:ind w:right="74"/>
              <w:spacing w:after="0" w:line="145"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5"/>
              </w:rPr>
              <w:t>Fiscal Year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5"/>
                <w:szCs w:val="15"/>
                <w:b w:val="1"/>
                <w:bCs w:val="1"/>
                <w:color w:val="auto"/>
              </w:rPr>
              <w:t>2017</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5"/>
                <w:szCs w:val="15"/>
                <w:b w:val="1"/>
                <w:bCs w:val="1"/>
                <w:color w:val="auto"/>
              </w:rPr>
              <w:t>2018</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accounts payable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13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Deemed dividend from trigger of down round</w:t>
            </w: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feature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used in computing:</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9,034,213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9,892,016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13,895,642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22,880,968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13,890,041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gridSpan w:val="3"/>
          </w:tcPr>
          <w:p>
            <w:pPr>
              <w:spacing w:after="0"/>
              <w:rPr>
                <w:rFonts w:ascii="Times New Roman" w:cs="Times New Roman" w:eastAsia="Times New Roman" w:hAnsi="Times New Roman"/>
                <w:sz w:val="15"/>
                <w:szCs w:val="15"/>
                <w:color w:val="0000EE"/>
              </w:rPr>
            </w:pPr>
            <w:hyperlink w:anchor="page3">
              <w:r>
                <w:rPr>
                  <w:rFonts w:ascii="Times New Roman" w:cs="Times New Roman" w:eastAsia="Times New Roman" w:hAnsi="Times New Roman"/>
                  <w:sz w:val="15"/>
                  <w:szCs w:val="15"/>
                  <w:color w:val="0000EE"/>
                </w:rPr>
                <w:t>Table of Contents</w:t>
              </w:r>
            </w:hyperlink>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5"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2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1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20" w:type="dxa"/>
            <w:vAlign w:val="bottom"/>
          </w:tcPr>
          <w:p>
            <w:pPr>
              <w:spacing w:after="0"/>
              <w:rPr>
                <w:sz w:val="12"/>
                <w:szCs w:val="12"/>
                <w:color w:val="auto"/>
              </w:rPr>
            </w:pPr>
          </w:p>
        </w:tc>
        <w:tc>
          <w:tcPr>
            <w:tcW w:w="8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5"/>
              </w:rPr>
              <w:t>Fiscal Year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2016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5"/>
                <w:szCs w:val="15"/>
                <w:b w:val="1"/>
                <w:bCs w:val="1"/>
                <w:color w:val="auto"/>
              </w:rPr>
              <w:t>2016</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5"/>
                <w:szCs w:val="15"/>
                <w:b w:val="1"/>
                <w:bCs w:val="1"/>
                <w:color w:val="auto"/>
              </w:rPr>
              <w:t>2016</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2017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5"/>
                <w:szCs w:val="15"/>
                <w:b w:val="1"/>
                <w:bCs w:val="1"/>
                <w:color w:val="auto"/>
                <w:w w:val="99"/>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Sublicense revenue</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dividend on Series B Preferred stock</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Deemed dividend on Series B Preferred stock</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(2,619)</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(3,342)</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used in computing:</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8,047,619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8,381,824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8,602,107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01" w:name="page102"/>
    <w:bookmarkEnd w:id="10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required by Rule 13a-15(b)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our Chief Executive Officer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and our Chief Financial Officer (</w:t>
      </w:r>
      <w:r>
        <w:rPr>
          <w:rFonts w:ascii="Times New Roman" w:cs="Times New Roman" w:eastAsia="Times New Roman" w:hAnsi="Times New Roman"/>
          <w:sz w:val="18"/>
          <w:szCs w:val="18"/>
          <w:i w:val="1"/>
          <w:iCs w:val="1"/>
          <w:color w:val="auto"/>
        </w:rPr>
        <w:t>CFO</w:t>
      </w:r>
      <w:r>
        <w:rPr>
          <w:rFonts w:ascii="Times New Roman" w:cs="Times New Roman" w:eastAsia="Times New Roman" w:hAnsi="Times New Roman"/>
          <w:sz w:val="18"/>
          <w:szCs w:val="18"/>
          <w:color w:val="auto"/>
        </w:rPr>
        <w:t>) conducted an evaluation as of the end of the period covered by this Annual Report on Form 10-K, of the effectiveness of our disclosure controls and procedures as defined in Rules 13a-15(e) and 15d-15(e) under the Exchange Act. Based on that evaluation, our CEO and our CFO each concluded that our disclosure controls and procedures are effective to provide reasonable assurance that information required to be disclosed in the reports that we file or submit under the Exchange Act, (i) is recorded, processed, summarized and reported within the time periods specified in the Securities and Exchange Commission's rules and forms and (ii) is accumulated and communicated to our management, including our CEO and our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internal control system is designed to provide reasonable assurance to our management and Board of Directors regarding the reliability of financial reporting and the preparation and fair presentation of financial statements for external purposes in accordance with U.S. generally accepted accounting principles.</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individuals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our internal control over financial reporting for our fiscal year ended March 31, 2018. Management's assessment was based on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 (</w:t>
      </w:r>
      <w:r>
        <w:rPr>
          <w:rFonts w:ascii="Times New Roman" w:cs="Times New Roman" w:eastAsia="Times New Roman" w:hAnsi="Times New Roman"/>
          <w:sz w:val="18"/>
          <w:szCs w:val="18"/>
          <w:i w:val="1"/>
          <w:iCs w:val="1"/>
          <w:color w:val="auto"/>
        </w:rPr>
        <w:t>COSO</w:t>
      </w:r>
      <w:r>
        <w:rPr>
          <w:rFonts w:ascii="Times New Roman" w:cs="Times New Roman" w:eastAsia="Times New Roman" w:hAnsi="Times New Roman"/>
          <w:sz w:val="18"/>
          <w:szCs w:val="18"/>
          <w:color w:val="auto"/>
        </w:rPr>
        <w:t>). Based upon this assessment, management concluded that, as of March 31, 2018, our internal control over financial reporting was not effective, based upon those criteria, as a result of the material weaknesses identified below.</w:t>
      </w:r>
    </w:p>
    <w:p>
      <w:pPr>
        <w:spacing w:after="0" w:line="1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Specifically, management identified the following control weaknesses: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 trail of entries made in the accounting software. The Company does not believe that these control weaknesses have resulted in deficient financial reporting because each of our CEO and CFO is aware of his responsibilities under the SEC's reporting requirements and personally certifies our financial reports. Further, the Company has implemented a series of manual checks and balances to verify that no previous reporting period has been improperly modified and that no unauthorized entries have been made in the current reporting period.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while the Company has identified certain material weaknesses in its system of internal control over financial reporting, it believes that it has taken reasonable and sufficient steps to ascertain that the financial information contained in this Annual Report is in accordance with U.S. generally accepted accounting principles. Management has determined that current resources would be more appropriately applied elsewhere and when resources permit, they will alleviate the material weaknesses through various steps, which may include the addition of qualified financial personnel and/or the acquisition and implementation of alternative accounting software.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enactment of the Dodd-Frank Wall Street Reform and Consumer Protection Act of 2010, and the resulting amendment of Section 404 of the Sarbanes-Oxley Act of 2002, as a smaller reporting company, we are not required to provide an attestation report by our independent registered public accounting firm regarding internal control over financial reporting for the fiscal year ended March 31, 2018 or thereafter, until such time as we are no longer eligible for the exemption for smaller issuers set forth within the Sarbanes-Oxley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02" w:name="page103"/>
    <w:bookmarkEnd w:id="10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2018 Annual Meeting of Stockholders, which we intend to file with the Securities and Exchange Commission on or before July 27, 2018 pursuant to General Instruction G(3) of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2018 Annual Meeting of Stockholders, which we intend to file with the Securities and Exchange Commission on or before July 27, 2018 pursuant to General Instruction G(3) of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2018 Annual Meeting of Stockholders, which we intend to file with the Securities and Exchange Commission on or before July 27, 2018 pursuant to General Instruction G(3) of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2018 Annual Meeting of Stockholders, which we intend to file with the Securities and Exchange Commission on or before July 27, 2018 pursuant to General Instruction G(3) of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2018 Annual Meeting of Stockholders, which we intend to file with the Securities and Exchange Commission on or before July 27, 2018 pursuant to General Instruction G(3) of Form 10-K.</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3" w:name="page104"/>
    <w:bookmarkEnd w:id="10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under Item 8 on page 65.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Consolidated Financial Statement Schedules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report.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3"/>
        </w:trPr>
        <w:tc>
          <w:tcPr>
            <w:tcW w:w="1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auto"/>
                <w:w w:val="88"/>
              </w:rPr>
            </w:pPr>
            <w:hyperlink r:id="rId114">
              <w:r>
                <w:rPr>
                  <w:rFonts w:ascii="Times New Roman" w:cs="Times New Roman" w:eastAsia="Times New Roman" w:hAnsi="Times New Roman"/>
                  <w:sz w:val="18"/>
                  <w:szCs w:val="18"/>
                  <w:color w:val="auto"/>
                  <w:w w:val="88"/>
                </w:rPr>
                <w:t>2.</w:t>
              </w:r>
              <w:r>
                <w:rPr>
                  <w:rFonts w:ascii="Times New Roman" w:cs="Times New Roman" w:eastAsia="Times New Roman" w:hAnsi="Times New Roman"/>
                  <w:sz w:val="18"/>
                  <w:szCs w:val="18"/>
                  <w:u w:val="single" w:color="auto"/>
                  <w:color w:val="auto"/>
                  <w:w w:val="88"/>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w w:val="97"/>
              </w:rPr>
              <w:t>Agreement and Plan of Merger by and among Excaliber Enterprises, Ltd., VistaGen Therapeutics, Inc. and Excaliber Merger Subsidiary,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Borders>
              <w:top w:val="single" w:sz="8" w:color="CCEEFF"/>
            </w:tcBorders>
            <w:gridSpan w:val="2"/>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w w:val="98"/>
              </w:rPr>
              <w:t>Articles of Merger filed with the Nevada Secretary of State on May 24, 2011, incorporated by reference from Exhibit 3.1 to the Company’s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Report on Form 8-K filed on May 31,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gridSpan w:val="2"/>
            <w:shd w:val="clear" w:color="auto" w:fill="CCEEFF"/>
          </w:tcPr>
          <w:p>
            <w:pPr>
              <w:spacing w:after="0" w:line="177"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w w:val="99"/>
              </w:rPr>
              <w:t>Certificate of Designations Series A Preferred, incorporated by reference from Exhibit 3.1 to the Company’s Current Report on Form 8-K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filed on December 23,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gridSpan w:val="2"/>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 of Change filed with the Nevada Secretary of State on August 11, 2014 incorporated by reference from Exhibit 3.1 to the</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Current Report on Form 8-K filed on August 14, 2014.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 w:type="dxa"/>
            <w:vAlign w:val="bottom"/>
            <w:gridSpan w:val="2"/>
            <w:shd w:val="clear" w:color="auto" w:fill="CCEEFF"/>
          </w:tcPr>
          <w:p>
            <w:pPr>
              <w:spacing w:after="0" w:line="177"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w w:val="97"/>
              </w:rPr>
              <w:t>Certificate of Designation of the Relative Rights and Preferences of the Series B 10% Convertible Preferred Stock of VistaGen Therapeutics,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Inc., filed with the Nevada Secretary of State on May 7, 2015, incorporated by reference from Exhibit 3.1 to the Company’s Current Report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 Form 8-K filed on May 13, 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gridSpan w:val="2"/>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w w:val="97"/>
              </w:rPr>
              <w:t>Certificate of Designation of the Relative Rights and Preferences of the Series C Convertible Preferred Stock of VistaGen Therapeutics,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dated January 25, 2016, incorporated by reference from Exhibit 3.1 to the Company’s Current Report on Form 8-K filed on January 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gridSpan w:val="3"/>
            <w:shd w:val="clear" w:color="auto" w:fill="CCEEFF"/>
          </w:tcPr>
          <w:p>
            <w:pPr>
              <w:spacing w:after="0" w:line="177" w:lineRule="exact"/>
              <w:rPr>
                <w:rFonts w:ascii="Times New Roman" w:cs="Times New Roman" w:eastAsia="Times New Roman" w:hAnsi="Times New Roman"/>
                <w:sz w:val="18"/>
                <w:szCs w:val="18"/>
                <w:color w:val="0000EE"/>
                <w:w w:val="88"/>
              </w:rPr>
            </w:pPr>
            <w:hyperlink r:id="rId120">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10</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w w:val="98"/>
              </w:rPr>
              <w:t>Restated Articles of Incorporation of VistaGen Therapeutics, Inc., dated August 16, 2016, incorporated by reference from Exhibit 3.1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Current Report on Form 8-K, filed on August 17, 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3"/>
          </w:tcPr>
          <w:p>
            <w:pPr>
              <w:spacing w:after="0" w:line="176" w:lineRule="exact"/>
              <w:rPr>
                <w:rFonts w:ascii="Times New Roman" w:cs="Times New Roman" w:eastAsia="Times New Roman" w:hAnsi="Times New Roman"/>
                <w:sz w:val="18"/>
                <w:szCs w:val="18"/>
                <w:color w:val="0000EE"/>
                <w:w w:val="88"/>
              </w:rPr>
            </w:pPr>
            <w:hyperlink r:id="rId121">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w w:val="97"/>
              </w:rPr>
              <w:t>Second Amended and Restated Bylaws of VistaGen Therapeutics, Inc., dated August 16, 2016, incorporated by reference from Exhibit 3.2 to</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Company’s Current Report on Form 8-K, filed on August 16,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 w:type="dxa"/>
            <w:vAlign w:val="bottom"/>
            <w:tcBorders>
              <w:bottom w:val="single" w:sz="8" w:color="0000EE"/>
            </w:tcBorders>
            <w:gridSpan w:val="3"/>
            <w:shd w:val="clear" w:color="auto" w:fill="CCEEFF"/>
          </w:tcPr>
          <w:p>
            <w:pPr>
              <w:spacing w:after="0" w:line="177" w:lineRule="exact"/>
              <w:rPr>
                <w:rFonts w:ascii="Times New Roman" w:cs="Times New Roman" w:eastAsia="Times New Roman" w:hAnsi="Times New Roman"/>
                <w:sz w:val="18"/>
                <w:szCs w:val="18"/>
                <w:color w:val="0000EE"/>
                <w:w w:val="88"/>
              </w:rPr>
            </w:pPr>
            <w:hyperlink r:id="rId122">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12</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w w:val="97"/>
              </w:rPr>
              <w:t>Certificate of Amendment to the Restated and Amended Articles of Incorporation of VistaGen Therapeutics, Inc., dated September 15,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incorporated by reference from Exhibit 3.1 to the Company’s Current Report on Form 8-K, filed on September 20,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gridSpan w:val="4"/>
          </w:tcPr>
          <w:p>
            <w:pPr>
              <w:spacing w:after="0" w:line="176" w:lineRule="exact"/>
              <w:rPr>
                <w:rFonts w:ascii="Times New Roman" w:cs="Times New Roman" w:eastAsia="Times New Roman" w:hAnsi="Times New Roman"/>
                <w:sz w:val="18"/>
                <w:szCs w:val="18"/>
                <w:color w:val="auto"/>
                <w:w w:val="88"/>
              </w:rPr>
            </w:pPr>
            <w:hyperlink r:id="rId123">
              <w:r>
                <w:rPr>
                  <w:rFonts w:ascii="Times New Roman" w:cs="Times New Roman" w:eastAsia="Times New Roman" w:hAnsi="Times New Roman"/>
                  <w:sz w:val="18"/>
                  <w:szCs w:val="18"/>
                  <w:color w:val="auto"/>
                  <w:w w:val="88"/>
                </w:rPr>
                <w:t>10.</w:t>
              </w:r>
              <w:r>
                <w:rPr>
                  <w:rFonts w:ascii="Times New Roman" w:cs="Times New Roman" w:eastAsia="Times New Roman" w:hAnsi="Times New Roman"/>
                  <w:sz w:val="18"/>
                  <w:szCs w:val="18"/>
                  <w:u w:val="single" w:color="auto"/>
                  <w:color w:val="auto"/>
                  <w:w w:val="88"/>
                </w:rPr>
                <w:t>1</w:t>
              </w:r>
              <w:r>
                <w:rPr>
                  <w:rFonts w:ascii="Times New Roman" w:cs="Times New Roman" w:eastAsia="Times New Roman" w:hAnsi="Times New Roman"/>
                  <w:sz w:val="18"/>
                  <w:szCs w:val="18"/>
                  <w:color w:val="0000EE"/>
                  <w:w w:val="88"/>
                </w:rPr>
                <w:t>*</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VistaGen’s 1999 Stock Incentive Plan.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5"/>
            <w:shd w:val="clear" w:color="auto" w:fill="CCEEFF"/>
          </w:tcPr>
          <w:p>
            <w:pPr>
              <w:spacing w:after="0" w:line="176" w:lineRule="exact"/>
              <w:rPr>
                <w:rFonts w:ascii="Times New Roman" w:cs="Times New Roman" w:eastAsia="Times New Roman" w:hAnsi="Times New Roman"/>
                <w:sz w:val="18"/>
                <w:szCs w:val="18"/>
                <w:color w:val="auto"/>
                <w:w w:val="92"/>
              </w:rPr>
            </w:pPr>
            <w:hyperlink r:id="rId124">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20</w:t>
              </w:r>
              <w:r>
                <w:rPr>
                  <w:rFonts w:ascii="Times New Roman" w:cs="Times New Roman" w:eastAsia="Times New Roman" w:hAnsi="Times New Roman"/>
                  <w:sz w:val="18"/>
                  <w:szCs w:val="18"/>
                  <w:color w:val="0000EE"/>
                  <w:w w:val="92"/>
                </w:rPr>
                <w:t>*</w:t>
              </w:r>
            </w:hyperlink>
          </w:p>
        </w:tc>
        <w:tc>
          <w:tcPr>
            <w:tcW w:w="8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Strategic Development Services Agreement, dated February 26, 2007, by and between VistaGen and Cato Research Ltd.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5"/>
          </w:tcPr>
          <w:p>
            <w:pPr>
              <w:spacing w:after="0" w:line="176" w:lineRule="exact"/>
              <w:rPr>
                <w:rFonts w:ascii="Times New Roman" w:cs="Times New Roman" w:eastAsia="Times New Roman" w:hAnsi="Times New Roman"/>
                <w:sz w:val="18"/>
                <w:szCs w:val="18"/>
                <w:color w:val="auto"/>
                <w:w w:val="92"/>
              </w:rPr>
            </w:pPr>
            <w:hyperlink r:id="rId125">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22</w:t>
              </w:r>
              <w:r>
                <w:rPr>
                  <w:rFonts w:ascii="Times New Roman" w:cs="Times New Roman" w:eastAsia="Times New Roman" w:hAnsi="Times New Roman"/>
                  <w:sz w:val="18"/>
                  <w:szCs w:val="18"/>
                  <w:color w:val="0000EE"/>
                  <w:w w:val="92"/>
                </w:rPr>
                <w:t>*</w:t>
              </w:r>
            </w:hyperlink>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5"/>
            <w:shd w:val="clear" w:color="auto" w:fill="CCEEFF"/>
          </w:tcPr>
          <w:p>
            <w:pPr>
              <w:spacing w:after="0" w:line="176" w:lineRule="exact"/>
              <w:rPr>
                <w:rFonts w:ascii="Times New Roman" w:cs="Times New Roman" w:eastAsia="Times New Roman" w:hAnsi="Times New Roman"/>
                <w:sz w:val="18"/>
                <w:szCs w:val="18"/>
                <w:color w:val="auto"/>
                <w:w w:val="92"/>
              </w:rPr>
            </w:pPr>
            <w:hyperlink r:id="rId126">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23</w:t>
              </w:r>
              <w:r>
                <w:rPr>
                  <w:rFonts w:ascii="Times New Roman" w:cs="Times New Roman" w:eastAsia="Times New Roman" w:hAnsi="Times New Roman"/>
                  <w:sz w:val="18"/>
                  <w:szCs w:val="18"/>
                  <w:color w:val="0000EE"/>
                  <w:w w:val="92"/>
                </w:rPr>
                <w:t>*</w:t>
              </w:r>
            </w:hyperlink>
          </w:p>
        </w:tc>
        <w:tc>
          <w:tcPr>
            <w:tcW w:w="8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5"/>
          </w:tcPr>
          <w:p>
            <w:pPr>
              <w:spacing w:after="0" w:line="176" w:lineRule="exact"/>
              <w:rPr>
                <w:rFonts w:ascii="Times New Roman" w:cs="Times New Roman" w:eastAsia="Times New Roman" w:hAnsi="Times New Roman"/>
                <w:sz w:val="18"/>
                <w:szCs w:val="18"/>
                <w:color w:val="auto"/>
                <w:w w:val="92"/>
              </w:rPr>
            </w:pPr>
            <w:hyperlink r:id="rId127">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24</w:t>
              </w:r>
              <w:r>
                <w:rPr>
                  <w:rFonts w:ascii="Times New Roman" w:cs="Times New Roman" w:eastAsia="Times New Roman" w:hAnsi="Times New Roman"/>
                  <w:sz w:val="18"/>
                  <w:szCs w:val="18"/>
                  <w:color w:val="0000EE"/>
                  <w:w w:val="92"/>
                </w:rPr>
                <w:t>*</w:t>
              </w:r>
            </w:hyperlink>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w w:val="99"/>
              </w:rPr>
              <w:t>Sponsored Research Collaboration Agreement, dated September 18, 2007, between VistaGen and University Health Network, as amended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that certain Amendment No. 1 and Amendment No. 2, dated April 19, 2010 and December 15, 2010, respectively.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gridSpan w:val="5"/>
            <w:shd w:val="clear" w:color="auto" w:fill="CCEEFF"/>
          </w:tcPr>
          <w:p>
            <w:pPr>
              <w:spacing w:after="0" w:line="177" w:lineRule="exact"/>
              <w:rPr>
                <w:rFonts w:ascii="Times New Roman" w:cs="Times New Roman" w:eastAsia="Times New Roman" w:hAnsi="Times New Roman"/>
                <w:sz w:val="18"/>
                <w:szCs w:val="18"/>
                <w:color w:val="auto"/>
                <w:w w:val="92"/>
              </w:rPr>
            </w:pPr>
            <w:hyperlink r:id="rId128">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26</w:t>
              </w:r>
              <w:r>
                <w:rPr>
                  <w:rFonts w:ascii="Times New Roman" w:cs="Times New Roman" w:eastAsia="Times New Roman" w:hAnsi="Times New Roman"/>
                  <w:sz w:val="18"/>
                  <w:szCs w:val="18"/>
                  <w:color w:val="0000EE"/>
                  <w:w w:val="92"/>
                </w:rPr>
                <w:t>*</w:t>
              </w:r>
            </w:hyperlink>
          </w:p>
        </w:tc>
        <w:tc>
          <w:tcPr>
            <w:tcW w:w="880" w:type="dxa"/>
            <w:vAlign w:val="bottom"/>
            <w:shd w:val="clear" w:color="auto" w:fill="CCEEFF"/>
          </w:tcPr>
          <w:p>
            <w:pPr>
              <w:spacing w:after="0"/>
              <w:rPr>
                <w:sz w:val="15"/>
                <w:szCs w:val="15"/>
                <w:color w:val="auto"/>
              </w:rPr>
            </w:pPr>
          </w:p>
        </w:tc>
        <w:tc>
          <w:tcPr>
            <w:tcW w:w="1004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License Agreement, dated October 24, 2001, by and between the University of Maryland, Baltimore, Cornell Research Foundation and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Artemis Neuroscience,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5"/>
          </w:tcPr>
          <w:p>
            <w:pPr>
              <w:spacing w:after="0" w:line="176" w:lineRule="exact"/>
              <w:rPr>
                <w:rFonts w:ascii="Times New Roman" w:cs="Times New Roman" w:eastAsia="Times New Roman" w:hAnsi="Times New Roman"/>
                <w:sz w:val="18"/>
                <w:szCs w:val="18"/>
                <w:color w:val="auto"/>
                <w:w w:val="92"/>
              </w:rPr>
            </w:pPr>
            <w:hyperlink r:id="rId129">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40</w:t>
              </w:r>
              <w:r>
                <w:rPr>
                  <w:rFonts w:ascii="Times New Roman" w:cs="Times New Roman" w:eastAsia="Times New Roman" w:hAnsi="Times New Roman"/>
                  <w:sz w:val="18"/>
                  <w:szCs w:val="18"/>
                  <w:color w:val="0000EE"/>
                  <w:w w:val="92"/>
                </w:rPr>
                <w:t>*</w:t>
              </w:r>
            </w:hyperlink>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Employment Agreement, by and between, VistaGen and Shawn K. Singh, dated April 28, 2010, as amended May 9, 2011.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5"/>
            <w:shd w:val="clear" w:color="auto" w:fill="CCEEFF"/>
          </w:tcPr>
          <w:p>
            <w:pPr>
              <w:spacing w:after="0" w:line="176" w:lineRule="exact"/>
              <w:rPr>
                <w:rFonts w:ascii="Times New Roman" w:cs="Times New Roman" w:eastAsia="Times New Roman" w:hAnsi="Times New Roman"/>
                <w:sz w:val="18"/>
                <w:szCs w:val="18"/>
                <w:color w:val="auto"/>
                <w:w w:val="92"/>
              </w:rPr>
            </w:pPr>
            <w:hyperlink r:id="rId130">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41</w:t>
              </w:r>
              <w:r>
                <w:rPr>
                  <w:rFonts w:ascii="Times New Roman" w:cs="Times New Roman" w:eastAsia="Times New Roman" w:hAnsi="Times New Roman"/>
                  <w:sz w:val="18"/>
                  <w:szCs w:val="18"/>
                  <w:color w:val="0000EE"/>
                  <w:w w:val="92"/>
                </w:rPr>
                <w:t>*</w:t>
              </w:r>
            </w:hyperlink>
          </w:p>
        </w:tc>
        <w:tc>
          <w:tcPr>
            <w:tcW w:w="88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Employment Agreement, by and between, VistaGen and H. Ralph Snodgrass, PhD, dated April 28, 2010, as amended May 9,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auto"/>
              <w:bottom w:val="single" w:sz="8" w:color="0000EE"/>
            </w:tcBorders>
            <w:gridSpan w:val="4"/>
          </w:tcPr>
          <w:p>
            <w:pPr>
              <w:spacing w:after="0" w:line="176" w:lineRule="exact"/>
              <w:rPr>
                <w:rFonts w:ascii="Times New Roman" w:cs="Times New Roman" w:eastAsia="Times New Roman" w:hAnsi="Times New Roman"/>
                <w:sz w:val="18"/>
                <w:szCs w:val="18"/>
                <w:color w:val="0000EE"/>
                <w:w w:val="88"/>
              </w:rPr>
            </w:pPr>
            <w:hyperlink r:id="rId131">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46</w:t>
              </w:r>
            </w:hyperlink>
          </w:p>
        </w:tc>
        <w:tc>
          <w:tcPr>
            <w:tcW w:w="100" w:type="dxa"/>
            <w:vAlign w:val="bottom"/>
            <w:tcBorders>
              <w:top w:val="single" w:sz="8" w:color="0000EE"/>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w w:val="98"/>
              </w:rPr>
              <w:t>Notice of Award by National Institutes of Health, Small Business Innovation Research Program, to VistaGen Therapeutics, Inc. for project,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Clinical Development of 4-CI-KYN to Treat Pain dated June 22, 2009, with revisions dated July 19, 2010 and August 9, 2011, incorporated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reference from Exhibit 10.46 to the Company’s Current Report on Form 8-K/A filed on December 20,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gridSpan w:val="4"/>
            <w:shd w:val="clear" w:color="auto" w:fill="CCEEFF"/>
          </w:tcPr>
          <w:p>
            <w:pPr>
              <w:spacing w:after="0" w:line="177" w:lineRule="exact"/>
              <w:rPr>
                <w:rFonts w:ascii="Times New Roman" w:cs="Times New Roman" w:eastAsia="Times New Roman" w:hAnsi="Times New Roman"/>
                <w:sz w:val="18"/>
                <w:szCs w:val="18"/>
                <w:color w:val="0000EE"/>
                <w:w w:val="88"/>
              </w:rPr>
            </w:pPr>
            <w:hyperlink r:id="rId132">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47</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Notice of Grant Award by California Institute of Regenerative Medicine and VistaGen Therapeutics, Inc. for Project: Development of an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hES Cell-Based Assay System for Hepatocyte Differentiation Studies and Predictive Toxicology Drug Screening, dated April 1,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incorporated by reference from Exhibit 10.47 to the Company’s Current Report on Form 8-K/A filed on December 20,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gridSpan w:val="4"/>
          </w:tcPr>
          <w:p>
            <w:pPr>
              <w:spacing w:after="0" w:line="176" w:lineRule="exact"/>
              <w:rPr>
                <w:rFonts w:ascii="Times New Roman" w:cs="Times New Roman" w:eastAsia="Times New Roman" w:hAnsi="Times New Roman"/>
                <w:sz w:val="18"/>
                <w:szCs w:val="18"/>
                <w:color w:val="0000EE"/>
                <w:w w:val="88"/>
              </w:rPr>
            </w:pPr>
            <w:hyperlink r:id="rId133">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48</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Amendment No. 4, dated October 24, 2011, to Sponsored Research Collaboration Agreement between VistaGen and University Health</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Network, incorporated by reference from Exhibit 10.2 to the Company’s Current Report on Form 8-K filed on November 30,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gridSpan w:val="4"/>
            <w:shd w:val="clear" w:color="auto" w:fill="CCEEFF"/>
          </w:tcPr>
          <w:p>
            <w:pPr>
              <w:spacing w:after="0" w:line="177" w:lineRule="exact"/>
              <w:rPr>
                <w:rFonts w:ascii="Times New Roman" w:cs="Times New Roman" w:eastAsia="Times New Roman" w:hAnsi="Times New Roman"/>
                <w:sz w:val="18"/>
                <w:szCs w:val="18"/>
                <w:color w:val="0000EE"/>
                <w:w w:val="88"/>
              </w:rPr>
            </w:pPr>
            <w:hyperlink r:id="rId134">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49</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w w:val="98"/>
              </w:rPr>
              <w:t>License Agreement No. 1, dated as of October 24, 2011 between University Health Network and VistaGen Therapeutics, Inc., incorporated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by reference from Exhibit 10.1 to the Company’s Current Report on Form 8-K filed on November 30, 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04" w:name="page105"/>
    <w:bookmarkEnd w:id="10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 w:type="dxa"/>
            <w:vAlign w:val="bottom"/>
            <w:tcBorders>
              <w:bottom w:val="single" w:sz="8" w:color="0000EE"/>
            </w:tcBorders>
            <w:shd w:val="clear" w:color="auto" w:fill="CCEEFF"/>
          </w:tcPr>
          <w:p>
            <w:pPr>
              <w:spacing w:after="0"/>
              <w:rPr>
                <w:rFonts w:ascii="Times New Roman" w:cs="Times New Roman" w:eastAsia="Times New Roman" w:hAnsi="Times New Roman"/>
                <w:sz w:val="18"/>
                <w:szCs w:val="18"/>
                <w:color w:val="0000EE"/>
                <w:w w:val="88"/>
              </w:rPr>
            </w:pPr>
            <w:hyperlink r:id="rId136">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50</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3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Strategic Medicinal Chemistry Services Agreement, dated as of December 6, 2011, between Synterys, Inc. and VistaGen Therapeutics,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incorporated by reference from Exhibit 10.1 to the Company’s Current Report on Form 8-K filed on December 7,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r:id="rId137">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57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7"/>
              </w:rPr>
              <w:t>License Agreement No. 2, dated as of March 19, 2012 between University Health Network and VistaGen Therapeutics, Inc.,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reference from Exhibit 10.57 to the Company’s Annual Report on Form 10-K filed on July 2, 2012.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r:id="rId138">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67</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7"/>
              </w:rPr>
              <w:t>Note Exchange and Purchase Agreement dated as of October 11, 2012 by and between VistaGen Therapeutics, Inc. and Platinum Long Term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Growth VII, LLP, incorporated by reference from Exhibit 10.1 to the Company’s Current Report on Form 8-K filed on October 16,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r:id="rId139">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73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8"/>
              </w:rPr>
              <w:t>Amendment to Note Exchange and Purchase Agreement as of November 14, 2012 between VistaGen Therapeutics Inc. and Platinum Long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Term Growth VII, LLP, incorporated by reference from Exhibit 10.1 to the Company’s Current Report on Form 8-K filed on November 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r:id="rId140">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75</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rPr>
              <w:t>Amendment No. 2 to Note Exchange and Purchase Agreement as of January 31, 2013 between VistaGen Therapeutics Inc. and Platinum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 Term Growth VII, LLP, incorporated by reference from Exhibit 10.1 to the Company’s Quarterly Report on Form 10-Q filed 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February 14,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r:id="rId141">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76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9"/>
              </w:rPr>
              <w:t>Amendment No. 3 to Note Exchange and Purchase Agreement as of February 22, 2013 between VistaGen Therapeutics Inc. and Platinum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Long Term Growth VII, LLP, incorporated by reference from Exhibit 10.1 to the Company’s Current Report on Form 8-K filed on February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28, 2013.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r:id="rId142">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77</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7"/>
              </w:rPr>
              <w:t>Form of Warrant to Purchase Common Stock issued to independent members of the Company’s Board of Directors and its executive officers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on March 3, 2013, incorporated by reference from Exhibit 10.1 to the Company’s Current Report on Form 8-K filed on March 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r:id="rId143">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Lease between Bayside Area Development, LLC and VistaGen Therapeutics, Inc. (California) dated April 24, 2013,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reference from Exhibit 10.83 to the Company’s Annual Report on Form 10-K filed July 18, 2013.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r:id="rId144">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84</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7"/>
              </w:rPr>
              <w:t>Indemnification Agreement effective May 20, 2013 between the Company and Jon S. Saxe, incorporated by reference from Exhibit 10.84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Company’s Annual Report on Form 10-K filed on July 18,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r:id="rId145">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85</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Indemnification Agreement effective May 20, 2013 between the Company and Shawn K. Singh, incorporated by reference from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10.85 to the Company’s Annual Report on Form 10-K filed on July 18, 2013.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r:id="rId146">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86</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8"/>
              </w:rPr>
              <w:t>Indemnification Agreement effective May 20, 2013 between the Company and H. Ralph Snodgrass, incorporated by reference from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10.86 to the Company’s Annual Report on Form 10-K filed on July 18,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88"/>
              </w:rPr>
            </w:pPr>
            <w:hyperlink r:id="rId147">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8"/>
              </w:rPr>
              <w:t>Indemnification Agreement effective May 20, 2013 between the Company and Brian J. Underdown, incorporated by reference from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10.87 to the Company’s Annual Report on Form 10-K filed on July 18, 2013.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Borders>
              <w:bottom w:val="single" w:sz="8" w:color="0000EE"/>
            </w:tcBorders>
            <w:shd w:val="clear" w:color="auto" w:fill="CCEEFF"/>
          </w:tcPr>
          <w:p>
            <w:pPr>
              <w:spacing w:after="0" w:line="177" w:lineRule="exact"/>
              <w:rPr>
                <w:rFonts w:ascii="Times New Roman" w:cs="Times New Roman" w:eastAsia="Times New Roman" w:hAnsi="Times New Roman"/>
                <w:sz w:val="18"/>
                <w:szCs w:val="18"/>
                <w:color w:val="0000EE"/>
                <w:w w:val="88"/>
              </w:rPr>
            </w:pPr>
            <w:hyperlink r:id="rId148">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88</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9"/>
              </w:rPr>
              <w:t>Indemnification Agreement effective May 20, 2013 between the Company and Jerrold D. Dotson, incorporated by reference from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10.88 to the Company’s Annual Report on Form 10-K filed on July 18,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2"/>
              </w:rPr>
            </w:pPr>
            <w:hyperlink r:id="rId149">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102</w:t>
              </w:r>
            </w:hyperlink>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8"/>
              </w:rPr>
              <w:t>Form of Promissory Note and Form of Warrant issued by the Company to Icahn School of Business at Mount Sinai effective April 10, 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in satisfaction of technology license maintenance fees and reimbursable patent costs, incorporated by reference from Exhibit 10.102 to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Company’s Annual Report on Form 10-K filed on June 25, 2014.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tcBorders>
              <w:bottom w:val="single" w:sz="8" w:color="0000EE"/>
            </w:tcBorders>
            <w:gridSpan w:val="3"/>
            <w:shd w:val="clear" w:color="auto" w:fill="CCEEFF"/>
          </w:tcPr>
          <w:p>
            <w:pPr>
              <w:spacing w:after="0" w:line="177" w:lineRule="exact"/>
              <w:rPr>
                <w:rFonts w:ascii="Times New Roman" w:cs="Times New Roman" w:eastAsia="Times New Roman" w:hAnsi="Times New Roman"/>
                <w:sz w:val="18"/>
                <w:szCs w:val="18"/>
                <w:color w:val="0000EE"/>
                <w:w w:val="92"/>
              </w:rPr>
            </w:pPr>
            <w:hyperlink r:id="rId150">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103</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8"/>
              </w:rPr>
              <w:t>Amendment No. 3 to Sponsored Research Collaboration Agreement, dated April 25, 2011, by and between VistaGen and University Health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Network, incorporated by reference from Exhibit 10.103 to the Company’s Annual Report on Form 10-K filed on June 25,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2"/>
              </w:rPr>
            </w:pPr>
            <w:hyperlink r:id="rId151">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104</w:t>
              </w:r>
            </w:hyperlink>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Amendment No. 5 to Sponsored Research Collaboration Agreement, dated October 10, 2012, by and between VistaGen and University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Health Network, incorporated by reference from Exhibit 10.104 to the Company’s Annual Report on Form 10-K filed on June 25, 2014.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Borders>
              <w:bottom w:val="single" w:sz="8" w:color="0000EE"/>
            </w:tcBorders>
            <w:gridSpan w:val="2"/>
            <w:shd w:val="clear" w:color="auto" w:fill="CCEEFF"/>
          </w:tcPr>
          <w:p>
            <w:pPr>
              <w:spacing w:after="0" w:line="177" w:lineRule="exact"/>
              <w:rPr>
                <w:rFonts w:ascii="Times New Roman" w:cs="Times New Roman" w:eastAsia="Times New Roman" w:hAnsi="Times New Roman"/>
                <w:sz w:val="18"/>
                <w:szCs w:val="18"/>
                <w:color w:val="0000EE"/>
                <w:w w:val="88"/>
              </w:rPr>
            </w:pPr>
            <w:hyperlink r:id="rId152">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111</w:t>
              </w:r>
            </w:hyperlink>
          </w:p>
        </w:tc>
        <w:tc>
          <w:tcPr>
            <w:tcW w:w="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7"/>
              </w:rPr>
              <w:t>Exchange Agreement, by and between VistaGen Therapeutics, Inc., and Platinum Long Term Growth VII, LLC and Montsant Partners,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dated January 25, 2016, incorporated by reference from Exhibit 10.1 to the Company’s Current Report on Form 8-K filed on January 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w w:val="92"/>
              </w:rPr>
            </w:pPr>
            <w:hyperlink r:id="rId153">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112</w:t>
              </w:r>
            </w:hyperlink>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8"/>
              </w:rPr>
              <w:t>Indemnification Agreement effective April 8, 2016 between the Company and Jerry B. Gin, incorporated by reference from Exhibit 10.112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 the Company’s Annual Report on Form 10-K filed on June 24,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gridSpan w:val="3"/>
            <w:shd w:val="clear" w:color="auto" w:fill="CCEEFF"/>
          </w:tcPr>
          <w:p>
            <w:pPr>
              <w:spacing w:after="0" w:line="177" w:lineRule="exact"/>
              <w:rPr>
                <w:rFonts w:ascii="Times New Roman" w:cs="Times New Roman" w:eastAsia="Times New Roman" w:hAnsi="Times New Roman"/>
                <w:sz w:val="18"/>
                <w:szCs w:val="18"/>
                <w:color w:val="0000EE"/>
                <w:w w:val="92"/>
              </w:rPr>
            </w:pPr>
            <w:hyperlink r:id="rId154">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113</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9"/>
              </w:rPr>
              <w:t>Underwriting Agreement, by and between Chardan Capital Markets, LLC and WallachBeth Capital, LLC, as representatives of the several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underwriters, and VistaGen Therapeutics, Inc., dated May 10, 2016, incorporated by reference from Exhibit 1.1 to the Company’s 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Report on Form 8-K filed on May 16,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w w:val="92"/>
              </w:rPr>
            </w:pPr>
            <w:hyperlink r:id="rId155">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114</w:t>
              </w:r>
            </w:hyperlink>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Warrant Agency Agreement, by and between Computershare, Inc. and VistaGen Therapeutics, Inc., dated May 16, 2016,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reference from Exhibit 4.1 to the Company’s Current Report on Form 8-K filed on May 16,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gridSpan w:val="3"/>
            <w:shd w:val="clear" w:color="auto" w:fill="CCEEFF"/>
          </w:tcPr>
          <w:p>
            <w:pPr>
              <w:spacing w:after="0" w:line="177" w:lineRule="exact"/>
              <w:rPr>
                <w:rFonts w:ascii="Times New Roman" w:cs="Times New Roman" w:eastAsia="Times New Roman" w:hAnsi="Times New Roman"/>
                <w:sz w:val="18"/>
                <w:szCs w:val="18"/>
                <w:color w:val="auto"/>
                <w:w w:val="92"/>
              </w:rPr>
            </w:pPr>
            <w:hyperlink r:id="rId156">
              <w:r>
                <w:rPr>
                  <w:rFonts w:ascii="Times New Roman" w:cs="Times New Roman" w:eastAsia="Times New Roman" w:hAnsi="Times New Roman"/>
                  <w:sz w:val="18"/>
                  <w:szCs w:val="18"/>
                  <w:color w:val="auto"/>
                  <w:w w:val="92"/>
                </w:rPr>
                <w:t>10.</w:t>
              </w:r>
              <w:r>
                <w:rPr>
                  <w:rFonts w:ascii="Times New Roman" w:cs="Times New Roman" w:eastAsia="Times New Roman" w:hAnsi="Times New Roman"/>
                  <w:sz w:val="18"/>
                  <w:szCs w:val="18"/>
                  <w:u w:val="single" w:color="auto"/>
                  <w:color w:val="auto"/>
                  <w:w w:val="92"/>
                </w:rPr>
                <w:t>115</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rPr>
              <w:t>Form of Warrant; incorporated by reference from Exhibit 4.2 to the Company’s Current Report on Form 8-K filed on May 16, 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w w:val="92"/>
              </w:rPr>
            </w:pPr>
            <w:hyperlink r:id="rId157">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116</w:t>
              </w:r>
            </w:hyperlink>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Second Amendment to Employment Agreement by and between VistaGen Therapeutics, Inc. and Shawn K. Singh, dated June 22, 2016,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incorporated by reference from Exhibit 10.116 to the Company’s Annual Report on Form 10-K filed on June 24,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gridSpan w:val="3"/>
            <w:shd w:val="clear" w:color="auto" w:fill="CCEEFF"/>
          </w:tcPr>
          <w:p>
            <w:pPr>
              <w:spacing w:after="0" w:line="177" w:lineRule="exact"/>
              <w:rPr>
                <w:rFonts w:ascii="Times New Roman" w:cs="Times New Roman" w:eastAsia="Times New Roman" w:hAnsi="Times New Roman"/>
                <w:sz w:val="18"/>
                <w:szCs w:val="18"/>
                <w:color w:val="0000EE"/>
                <w:w w:val="92"/>
              </w:rPr>
            </w:pPr>
            <w:hyperlink r:id="rId158">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117</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7"/>
              </w:rPr>
              <w:t>Second Amendment to Employment Agreement by and between VistaGen Therapeutics, Inc. and H. Ralph Snodgrass, Ph.D., dated June 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2016, incorporated by reference from Exhibit 10.117 to the Company’s Annual Report on Form 10-K filed on June 24,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w w:val="92"/>
              </w:rPr>
            </w:pPr>
            <w:hyperlink r:id="rId159">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118</w:t>
              </w:r>
            </w:hyperlink>
          </w:p>
        </w:tc>
        <w:tc>
          <w:tcPr>
            <w:tcW w:w="540" w:type="dxa"/>
            <w:vAlign w:val="bottom"/>
          </w:tcPr>
          <w:p>
            <w:pPr>
              <w:spacing w:after="0"/>
              <w:rPr>
                <w:sz w:val="15"/>
                <w:szCs w:val="15"/>
                <w:color w:val="auto"/>
              </w:rPr>
            </w:pP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Second Amendment to Lease between Bayside Area Development and the Company, effective November 10, 2016,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reference from Exhibit 10.1 to the Company’s Quarterly report on Form 10-Q filed on November 15, 2016.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gridSpan w:val="3"/>
            <w:shd w:val="clear" w:color="auto" w:fill="CCEEFF"/>
          </w:tcPr>
          <w:p>
            <w:pPr>
              <w:spacing w:after="0" w:line="177" w:lineRule="exact"/>
              <w:rPr>
                <w:rFonts w:ascii="Times New Roman" w:cs="Times New Roman" w:eastAsia="Times New Roman" w:hAnsi="Times New Roman"/>
                <w:sz w:val="18"/>
                <w:szCs w:val="18"/>
                <w:color w:val="0000EE"/>
                <w:w w:val="92"/>
              </w:rPr>
            </w:pPr>
            <w:hyperlink r:id="rId160">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119</w:t>
              </w:r>
            </w:hyperlink>
          </w:p>
        </w:tc>
        <w:tc>
          <w:tcPr>
            <w:tcW w:w="540" w:type="dxa"/>
            <w:vAlign w:val="bottom"/>
            <w:shd w:val="clear" w:color="auto" w:fill="CCEEFF"/>
          </w:tcPr>
          <w:p>
            <w:pPr>
              <w:spacing w:after="0"/>
              <w:rPr>
                <w:sz w:val="15"/>
                <w:szCs w:val="15"/>
                <w:color w:val="auto"/>
              </w:rPr>
            </w:pPr>
          </w:p>
        </w:tc>
        <w:tc>
          <w:tcPr>
            <w:tcW w:w="10380" w:type="dxa"/>
            <w:vAlign w:val="bottom"/>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w w:val="97"/>
              </w:rPr>
              <w:t>Indemnification Agreement effective November 10, 2016 between the Company and Mark A. Smith, incorporated by reference from Exhibit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10.2 to the Company’s Quarterly report on Form 10-Q filed on November 15,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4"/>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120</w:t>
              </w:r>
            </w:hyperlink>
            <w:r>
              <w:rPr>
                <w:rFonts w:ascii="Times New Roman" w:cs="Times New Roman" w:eastAsia="Times New Roman" w:hAnsi="Times New Roman"/>
                <w:sz w:val="18"/>
                <w:szCs w:val="18"/>
                <w:color w:val="000000"/>
              </w:rPr>
              <w:t>+</w:t>
            </w:r>
          </w:p>
        </w:tc>
        <w:tc>
          <w:tcPr>
            <w:tcW w:w="103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8"/>
              </w:rPr>
              <w:t>Exclusive License and Sublicense Agreement by and between VistaGen Therapeutics, Inc. and Apollo Biologics LP, effective December 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40" w:type="dxa"/>
            <w:vAlign w:val="bottom"/>
          </w:tcPr>
          <w:p>
            <w:pPr>
              <w:spacing w:after="0"/>
              <w:rPr>
                <w:sz w:val="20"/>
                <w:szCs w:val="20"/>
                <w:color w:val="auto"/>
              </w:rPr>
            </w:pPr>
          </w:p>
        </w:tc>
        <w:tc>
          <w:tcPr>
            <w:tcW w:w="10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2016, incorporated by reference from Exhibit 10.1 to the Company’s Quarterly Report on Form 10-Q filed on May 11, 2017.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gridSpan w:val="4"/>
            <w:shd w:val="clear" w:color="auto" w:fill="CCEEFF"/>
          </w:tcPr>
          <w:p>
            <w:pPr>
              <w:spacing w:after="0" w:line="177"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121</w:t>
              </w:r>
            </w:hyperlink>
            <w:r>
              <w:rPr>
                <w:rFonts w:ascii="Times New Roman" w:cs="Times New Roman" w:eastAsia="Times New Roman" w:hAnsi="Times New Roman"/>
                <w:sz w:val="18"/>
                <w:szCs w:val="18"/>
                <w:color w:val="000000"/>
              </w:rPr>
              <w:t>+</w:t>
            </w:r>
          </w:p>
        </w:tc>
        <w:tc>
          <w:tcPr>
            <w:tcW w:w="10380" w:type="dxa"/>
            <w:vAlign w:val="bottom"/>
            <w:shd w:val="clear" w:color="auto" w:fill="CCEEFF"/>
          </w:tcPr>
          <w:p>
            <w:pPr>
              <w:ind w:left="460"/>
              <w:spacing w:after="0" w:line="177" w:lineRule="exact"/>
              <w:rPr>
                <w:sz w:val="20"/>
                <w:szCs w:val="20"/>
                <w:color w:val="auto"/>
              </w:rPr>
            </w:pPr>
            <w:r>
              <w:rPr>
                <w:rFonts w:ascii="Times New Roman" w:cs="Times New Roman" w:eastAsia="Times New Roman" w:hAnsi="Times New Roman"/>
                <w:sz w:val="18"/>
                <w:szCs w:val="18"/>
                <w:color w:val="auto"/>
              </w:rPr>
              <w:t>Patent License Amendment Agreement between VistaGen Therapeutics Inc. and University Health Network effective December 9, 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incorporated by reference from Exhibit 10.2 to the Company’s Quarterly Report on Form 10-Q/A filed on May 1,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05" w:name="page106"/>
    <w:bookmarkEnd w:id="10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w w:val="92"/>
              </w:rPr>
            </w:pPr>
            <w:hyperlink r:id="rId164">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122</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Amended and Restated 2016 Stock Incentive Plan (formerly the VistaGent Therapeutics, Inc. 2008 Stock Incentive Plan),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reference from Exhibit 10.122 to the Company’s Annual Report on Form 10-K filed on June 29,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2"/>
              </w:rPr>
            </w:pPr>
            <w:hyperlink r:id="rId165">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123</w:t>
              </w:r>
            </w:hyperlink>
          </w:p>
        </w:tc>
        <w:tc>
          <w:tcPr>
            <w:tcW w:w="900" w:type="dxa"/>
            <w:vAlign w:val="bottom"/>
          </w:tcPr>
          <w:p>
            <w:pPr>
              <w:spacing w:after="0"/>
              <w:rPr>
                <w:sz w:val="15"/>
                <w:szCs w:val="15"/>
                <w:color w:val="auto"/>
              </w:rPr>
            </w:pPr>
          </w:p>
        </w:tc>
        <w:tc>
          <w:tcPr>
            <w:tcW w:w="10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Underwriting Agreement, dated as of August 31, 2017, by and between VistaGen Therapeutics, Inc. and Oppenheimer &amp; Co. Inc.,</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incorporated by reference from Exhibit 1.1 to the Company’s Current Report on Form 8-K filed on August 31, 2017.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tcBorders>
              <w:bottom w:val="single" w:sz="8" w:color="0000EE"/>
            </w:tcBorders>
            <w:gridSpan w:val="2"/>
            <w:shd w:val="clear" w:color="auto" w:fill="CCEEFF"/>
          </w:tcPr>
          <w:p>
            <w:pPr>
              <w:spacing w:after="0" w:line="177" w:lineRule="exact"/>
              <w:rPr>
                <w:rFonts w:ascii="Times New Roman" w:cs="Times New Roman" w:eastAsia="Times New Roman" w:hAnsi="Times New Roman"/>
                <w:sz w:val="18"/>
                <w:szCs w:val="18"/>
                <w:color w:val="0000EE"/>
                <w:w w:val="92"/>
              </w:rPr>
            </w:pPr>
            <w:hyperlink r:id="rId166">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124</w:t>
              </w:r>
            </w:hyperlink>
          </w:p>
        </w:tc>
        <w:tc>
          <w:tcPr>
            <w:tcW w:w="90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CCEEFF"/>
            </w:tcBorders>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Form of Series A1 Warrant, incorporated by reference from Exhibit 4.1 to the Company’s Current Report on Form 8-K filed on August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2"/>
              </w:rPr>
            </w:pPr>
            <w:hyperlink r:id="rId167">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125</w:t>
              </w:r>
            </w:hyperlink>
          </w:p>
        </w:tc>
        <w:tc>
          <w:tcPr>
            <w:tcW w:w="900" w:type="dxa"/>
            <w:vAlign w:val="bottom"/>
          </w:tcPr>
          <w:p>
            <w:pPr>
              <w:spacing w:after="0"/>
              <w:rPr>
                <w:sz w:val="15"/>
                <w:szCs w:val="15"/>
                <w:color w:val="auto"/>
              </w:rPr>
            </w:pPr>
          </w:p>
        </w:tc>
        <w:tc>
          <w:tcPr>
            <w:tcW w:w="10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w w:val="98"/>
              </w:rPr>
              <w:t>Form of Series A2 Warrant, incorporated by reference from Exhibit 4.2 to the Company’s Current Report on Form 8-K filed on August 31,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 w:type="dxa"/>
            <w:vAlign w:val="bottom"/>
            <w:tcBorders>
              <w:bottom w:val="single" w:sz="8" w:color="0000EE"/>
            </w:tcBorders>
            <w:gridSpan w:val="2"/>
            <w:shd w:val="clear" w:color="auto" w:fill="CCEEFF"/>
          </w:tcPr>
          <w:p>
            <w:pPr>
              <w:spacing w:after="0" w:line="177" w:lineRule="exact"/>
              <w:rPr>
                <w:rFonts w:ascii="Times New Roman" w:cs="Times New Roman" w:eastAsia="Times New Roman" w:hAnsi="Times New Roman"/>
                <w:sz w:val="18"/>
                <w:szCs w:val="18"/>
                <w:color w:val="0000EE"/>
                <w:w w:val="92"/>
              </w:rPr>
            </w:pPr>
            <w:hyperlink r:id="rId168">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126</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w w:val="99"/>
              </w:rPr>
              <w:t>Form of Warrant, incorporated by reference from Exhibit 4.1 to the Company’s Current Report on Form 8-K filed on December 13, 2017.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CCEEFF"/>
            </w:tcBorders>
            <w:gridSpan w:val="2"/>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900" w:type="dxa"/>
            <w:vAlign w:val="bottom"/>
            <w:tcBorders>
              <w:top w:val="single" w:sz="8" w:color="CCEEFF"/>
            </w:tcBorders>
          </w:tcPr>
          <w:p>
            <w:pPr>
              <w:spacing w:after="0"/>
              <w:rPr>
                <w:sz w:val="15"/>
                <w:szCs w:val="15"/>
                <w:color w:val="auto"/>
              </w:rPr>
            </w:pPr>
          </w:p>
        </w:tc>
        <w:tc>
          <w:tcPr>
            <w:tcW w:w="10020" w:type="dxa"/>
            <w:vAlign w:val="bottom"/>
            <w:tcBorders>
              <w:top w:val="single" w:sz="8" w:color="CCEEFF"/>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List of Subsidiaries.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108">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109">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1</w:t>
              </w:r>
            </w:hyperlink>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0020" w:type="dxa"/>
            <w:vAlign w:val="bottom"/>
            <w:tcBorders>
              <w:top w:val="single" w:sz="8" w:color="CCEEFF"/>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 filed herewith.</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110">
              <w:r>
                <w:rPr>
                  <w:rFonts w:ascii="Times New Roman" w:cs="Times New Roman" w:eastAsia="Times New Roman" w:hAnsi="Times New Roman"/>
                  <w:sz w:val="18"/>
                  <w:szCs w:val="18"/>
                  <w:color w:val="0000EE"/>
                  <w:w w:val="88"/>
                </w:rPr>
                <w:t>31.</w:t>
              </w:r>
              <w:r>
                <w:rPr>
                  <w:rFonts w:ascii="Times New Roman" w:cs="Times New Roman" w:eastAsia="Times New Roman" w:hAnsi="Times New Roman"/>
                  <w:sz w:val="18"/>
                  <w:szCs w:val="18"/>
                  <w:u w:val="single" w:color="auto"/>
                  <w:color w:val="0000EE"/>
                  <w:w w:val="88"/>
                </w:rPr>
                <w:t>2</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2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 filed herewith.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Times New Roman" w:cs="Times New Roman" w:eastAsia="Times New Roman" w:hAnsi="Times New Roman"/>
                <w:sz w:val="18"/>
                <w:szCs w:val="18"/>
                <w:color w:val="0000EE"/>
                <w:w w:val="88"/>
              </w:rPr>
            </w:pPr>
            <w:hyperlink w:anchor="page111">
              <w:r>
                <w:rPr>
                  <w:rFonts w:ascii="Times New Roman" w:cs="Times New Roman" w:eastAsia="Times New Roman" w:hAnsi="Times New Roman"/>
                  <w:sz w:val="18"/>
                  <w:szCs w:val="18"/>
                  <w:color w:val="0000EE"/>
                  <w:w w:val="88"/>
                </w:rPr>
                <w:t>32.</w:t>
              </w:r>
              <w:r>
                <w:rPr>
                  <w:rFonts w:ascii="Times New Roman" w:cs="Times New Roman" w:eastAsia="Times New Roman" w:hAnsi="Times New Roman"/>
                  <w:sz w:val="18"/>
                  <w:szCs w:val="18"/>
                  <w:u w:val="single" w:color="auto"/>
                  <w:color w:val="0000EE"/>
                  <w:w w:val="88"/>
                </w:rPr>
                <w:t>1</w:t>
              </w:r>
            </w:hyperlink>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0020" w:type="dxa"/>
            <w:vAlign w:val="bottom"/>
            <w:tcBorders>
              <w:top w:val="single" w:sz="8" w:color="CCEEFF"/>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w w:val="99"/>
              </w:rPr>
              <w:t>Certification of the Company’s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2002, filed herewith.</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8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28"/>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right="2840" w:firstLine="8"/>
        <w:spacing w:after="0" w:line="261" w:lineRule="auto"/>
        <w:tabs>
          <w:tab w:leader="none" w:pos="1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like-numbered exhibit filed with our Current Report on Form 8-K on May 16, 2011. + Confidential treatment has been granted for certain confidential portions of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06" w:name="page107"/>
    <w:bookmarkEnd w:id="10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26th day of June,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5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tc>
      </w:tr>
      <w:tr>
        <w:trPr>
          <w:trHeight w:val="46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2018</w:t>
            </w:r>
          </w:p>
        </w:tc>
        <w:tc>
          <w:tcPr>
            <w:tcW w:w="65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Shawn K. Singh</w:t>
            </w:r>
          </w:p>
        </w:tc>
      </w:tr>
      <w:tr>
        <w:trPr>
          <w:trHeight w:val="198"/>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9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Shawn K. Singh, J.D.</w:t>
            </w:r>
          </w:p>
        </w:tc>
      </w:tr>
      <w:tr>
        <w:trPr>
          <w:trHeight w:val="232"/>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tc>
      </w:tr>
    </w:tbl>
    <w:p>
      <w:pPr>
        <w:spacing w:after="0" w:line="200" w:lineRule="exact"/>
        <w:rPr>
          <w:sz w:val="20"/>
          <w:szCs w:val="20"/>
          <w:color w:val="auto"/>
        </w:rPr>
      </w:pPr>
    </w:p>
    <w:p>
      <w:pPr>
        <w:spacing w:after="0" w:line="2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80" w:type="dxa"/>
            <w:vAlign w:val="bottom"/>
          </w:tcPr>
          <w:p>
            <w:pPr>
              <w:spacing w:after="0"/>
              <w:rPr>
                <w:sz w:val="20"/>
                <w:szCs w:val="20"/>
                <w:color w:val="auto"/>
              </w:rPr>
            </w:pPr>
          </w:p>
        </w:tc>
        <w:tc>
          <w:tcPr>
            <w:tcW w:w="5320" w:type="dxa"/>
            <w:vAlign w:val="bottom"/>
            <w:tcBorders>
              <w:bottom w:val="single" w:sz="8" w:color="auto"/>
            </w:tcBorders>
          </w:tcPr>
          <w:p>
            <w:pPr>
              <w:jc w:val="right"/>
              <w:ind w:right="2392"/>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65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Shawn K. Singh</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4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26, 2018</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Shawn K. Singh, JD</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Jerrold D. Dotson</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4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26, 2018</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Jerrold D. Dotson</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 Ralph Snodgrass</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President, Chief Scientific Officer and Director</w:t>
            </w:r>
          </w:p>
        </w:tc>
        <w:tc>
          <w:tcPr>
            <w:tcW w:w="4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26, 2018</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 Ralph Snodgrass, Ph.D</w:t>
            </w:r>
          </w:p>
        </w:tc>
        <w:tc>
          <w:tcPr>
            <w:tcW w:w="3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Jon S. Saxe</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4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26, 2018</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 S. Saxe</w:t>
            </w:r>
          </w:p>
        </w:tc>
        <w:tc>
          <w:tcPr>
            <w:tcW w:w="3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Brian J. Underdown</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4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26, 2018</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Brian J. Underdown, Ph. D</w:t>
            </w:r>
          </w:p>
        </w:tc>
        <w:tc>
          <w:tcPr>
            <w:tcW w:w="3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Jerry B. Gin, Ph.D</w:t>
            </w:r>
          </w:p>
        </w:tc>
        <w:tc>
          <w:tcPr>
            <w:tcW w:w="5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4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26, 2018</w:t>
            </w:r>
          </w:p>
        </w:tc>
      </w:tr>
      <w:tr>
        <w:trPr>
          <w:trHeight w:val="23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Jerry B. Gin, Ph.D.</w:t>
            </w:r>
          </w:p>
        </w:tc>
        <w:tc>
          <w:tcPr>
            <w:tcW w:w="3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857"/>
        </w:trPr>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
          </w:tcPr>
          <w:p>
            <w:pPr>
              <w:jc w:val="right"/>
              <w:ind w:right="3032"/>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333-223556 and 333-208354) and Form S-3 (File No. 333-215671) of VistaGen Therapeutics, Inc. of our report dated June 26, 2018 (which report expresses an unqualified opinion and includes an explanatory paragraph expressing substantial doubt about the Company’s ability to continue as a going concern), relating to the consolidated financial statements of VistaGen Therapeutics, Inc., which appears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339" w:lineRule="auto"/>
        <w:tabs>
          <w:tab w:leader="none" w:pos="6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8" w:lineRule="exact"/>
        <w:rPr>
          <w:rFonts w:ascii="Times New Roman" w:cs="Times New Roman" w:eastAsia="Times New Roman" w:hAnsi="Times New Roman"/>
          <w:sz w:val="16"/>
          <w:szCs w:val="16"/>
          <w:color w:val="auto"/>
        </w:rPr>
      </w:pPr>
    </w:p>
    <w:p>
      <w:pPr>
        <w:ind w:left="660" w:hanging="652"/>
        <w:spacing w:after="0" w:line="27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660" w:right="20" w:hanging="652"/>
        <w:spacing w:after="0" w:line="26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652"/>
        <w:spacing w:after="0" w:line="27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June 26, 2018</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Shawn K. Singh</w:t>
            </w:r>
          </w:p>
        </w:tc>
      </w:tr>
      <w:tr>
        <w:trPr>
          <w:trHeight w:val="20"/>
        </w:trPr>
        <w:tc>
          <w:tcPr>
            <w:tcW w:w="65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22"/>
        </w:trPr>
        <w:tc>
          <w:tcPr>
            <w:tcW w:w="65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K. Singh, JD</w:t>
            </w:r>
          </w:p>
        </w:tc>
      </w:tr>
      <w:tr>
        <w:trPr>
          <w:trHeight w:val="228"/>
        </w:trPr>
        <w:tc>
          <w:tcPr>
            <w:tcW w:w="65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1"/>
        </w:trPr>
        <w:tc>
          <w:tcPr>
            <w:tcW w:w="6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9"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339"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8" w:lineRule="exact"/>
        <w:rPr>
          <w:rFonts w:ascii="Times New Roman" w:cs="Times New Roman" w:eastAsia="Times New Roman" w:hAnsi="Times New Roman"/>
          <w:sz w:val="16"/>
          <w:szCs w:val="16"/>
          <w:color w:val="auto"/>
        </w:rPr>
      </w:pPr>
    </w:p>
    <w:p>
      <w:pPr>
        <w:ind w:left="660" w:hanging="652"/>
        <w:spacing w:after="0" w:line="27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660" w:right="20" w:hanging="652"/>
        <w:spacing w:after="0" w:line="26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jc w:val="both"/>
        <w:ind w:left="1300" w:hanging="644"/>
        <w:spacing w:after="0" w:line="26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660" w:right="20" w:hanging="652"/>
        <w:spacing w:after="0" w:line="275"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June 26, 2018</w:t>
            </w: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Jerrold D. Dotson</w:t>
            </w:r>
          </w:p>
        </w:tc>
      </w:tr>
      <w:tr>
        <w:trPr>
          <w:trHeight w:val="222"/>
        </w:trPr>
        <w:tc>
          <w:tcPr>
            <w:tcW w:w="584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4120" w:type="dxa"/>
            <w:vAlign w:val="bottom"/>
          </w:tcPr>
          <w:p>
            <w:pPr>
              <w:spacing w:after="0"/>
              <w:rPr>
                <w:sz w:val="19"/>
                <w:szCs w:val="19"/>
                <w:color w:val="auto"/>
              </w:rPr>
            </w:pPr>
          </w:p>
        </w:tc>
      </w:tr>
      <w:tr>
        <w:trPr>
          <w:trHeight w:val="228"/>
        </w:trPr>
        <w:tc>
          <w:tcPr>
            <w:tcW w:w="58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57"/>
        </w:trPr>
        <w:tc>
          <w:tcPr>
            <w:tcW w:w="5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9" w:right="239" w:bottom="1440" w:gutter="0" w:footer="0" w:header="0"/>
        </w:sectPr>
      </w:pPr>
    </w:p>
    <w:bookmarkStart w:id="110" w:name="page111"/>
    <w:bookmarkEnd w:id="110"/>
    <w:p>
      <w:pPr>
        <w:ind w:left="1044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377" w:lineRule="exact"/>
        <w:rPr>
          <w:sz w:val="20"/>
          <w:szCs w:val="20"/>
          <w:color w:val="auto"/>
        </w:rPr>
      </w:pPr>
    </w:p>
    <w:p>
      <w:pPr>
        <w:ind w:firstLine="486"/>
        <w:spacing w:after="0" w:line="275"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 hereby certifies, to such officer’s knowledge, that:</w:t>
      </w:r>
    </w:p>
    <w:p>
      <w:pPr>
        <w:spacing w:after="0" w:line="104" w:lineRule="exact"/>
        <w:rPr>
          <w:sz w:val="20"/>
          <w:szCs w:val="20"/>
          <w:color w:val="auto"/>
        </w:rPr>
      </w:pPr>
    </w:p>
    <w:p>
      <w:pPr>
        <w:ind w:left="500" w:firstLine="480"/>
        <w:spacing w:after="0" w:line="277" w:lineRule="auto"/>
        <w:tabs>
          <w:tab w:leader="none" w:pos="11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annual period ended March 31, 2018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04"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Shawn K. Singh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Jerrold D. Dotson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1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lowerRoman"/>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5" Type="http://schemas.openxmlformats.org/officeDocument/2006/relationships/image" Target="media/image107.png"/><Relationship Id="rId163"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14" Type="http://schemas.openxmlformats.org/officeDocument/2006/relationships/hyperlink" Target="http://www.sec.gov/Archives/edgar/data/1411685/000141588911000362/ex2-1.htm" TargetMode="External"/><Relationship Id="rId115" Type="http://schemas.openxmlformats.org/officeDocument/2006/relationships/hyperlink" Target="http://www.sec.gov/Archives/edgar/data/1411685/000141588911000445/exhibit3-1.htm" TargetMode="External"/><Relationship Id="rId116" Type="http://schemas.openxmlformats.org/officeDocument/2006/relationships/hyperlink" Target="http://www.sec.gov/Archives/edgar/data/1411685/000141588911001446/ex3-12232011_081210.htm" TargetMode="External"/><Relationship Id="rId117" Type="http://schemas.openxmlformats.org/officeDocument/2006/relationships/hyperlink" Target="http://www.sec.gov/Archives/edgar/data/1411685/000141588914002464/ex3-1.htm" TargetMode="External"/><Relationship Id="rId118" Type="http://schemas.openxmlformats.org/officeDocument/2006/relationships/hyperlink" Target="http://www.sec.gov/Archives/edgar/data/1411685/000141588915001677/ex3-1.htm" TargetMode="External"/><Relationship Id="rId119" Type="http://schemas.openxmlformats.org/officeDocument/2006/relationships/hyperlink" Target="http://www.sec.gov/Archives/edgar/data/1411685/000141588916004564/ex3-01292016_020121.htm" TargetMode="External"/><Relationship Id="rId120" Type="http://schemas.openxmlformats.org/officeDocument/2006/relationships/hyperlink" Target="http://www.sec.gov/Archives/edgar/data/1411685/000141588916006879/ex3-1.htm" TargetMode="External"/><Relationship Id="rId121" Type="http://schemas.openxmlformats.org/officeDocument/2006/relationships/hyperlink" Target="http://www.sec.gov/Archives/edgar/data/1411685/000141588916006879/ex3-2.htm" TargetMode="External"/><Relationship Id="rId122" Type="http://schemas.openxmlformats.org/officeDocument/2006/relationships/hyperlink" Target="http://www.sec.gov/Archives/edgar/data/1411685/000165495417008632/ex3-1.htm" TargetMode="External"/><Relationship Id="rId123" Type="http://schemas.openxmlformats.org/officeDocument/2006/relationships/hyperlink" Target="http://www.sec.gov/Archives/edgar/data/1411685/000141588911000362/ex10-1.htm" TargetMode="External"/><Relationship Id="rId124" Type="http://schemas.openxmlformats.org/officeDocument/2006/relationships/hyperlink" Target="http://www.sec.gov/Archives/edgar/data/1411685/000141588911000362/ex10-20.htm" TargetMode="External"/><Relationship Id="rId125" Type="http://schemas.openxmlformats.org/officeDocument/2006/relationships/hyperlink" Target="http://www.sec.gov/Archives/edgar/data/1411685/000141588911000362/ex10-22.htm" TargetMode="External"/><Relationship Id="rId126" Type="http://schemas.openxmlformats.org/officeDocument/2006/relationships/hyperlink" Target="http://www.sec.gov/Archives/edgar/data/1411685/000141588911000362/ex10-23.htm" TargetMode="External"/><Relationship Id="rId127" Type="http://schemas.openxmlformats.org/officeDocument/2006/relationships/hyperlink" Target="http://www.sec.gov/Archives/edgar/data/1411685/000141588911000362/ex10-24.htm" TargetMode="External"/><Relationship Id="rId128" Type="http://schemas.openxmlformats.org/officeDocument/2006/relationships/hyperlink" Target="http://www.sec.gov/Archives/edgar/data/1411685/000141588911000362/ex10-26.htm" TargetMode="External"/><Relationship Id="rId129" Type="http://schemas.openxmlformats.org/officeDocument/2006/relationships/hyperlink" Target="http://www.sec.gov/Archives/edgar/data/1411685/000141588911000362/ex10-40.htm" TargetMode="External"/><Relationship Id="rId130" Type="http://schemas.openxmlformats.org/officeDocument/2006/relationships/hyperlink" Target="http://www.sec.gov/Archives/edgar/data/1411685/000141588911000362/ex10-41.htm" TargetMode="External"/><Relationship Id="rId131" Type="http://schemas.openxmlformats.org/officeDocument/2006/relationships/hyperlink" Target="http://www.sec.gov/Archives/edgar/data/1411685/000141588911001425/ex10-46.htm" TargetMode="External"/><Relationship Id="rId132" Type="http://schemas.openxmlformats.org/officeDocument/2006/relationships/hyperlink" Target="http://www.sec.gov/Archives/edgar/data/1411685/000141588911001425/ex10-47.htm" TargetMode="External"/><Relationship Id="rId133" Type="http://schemas.openxmlformats.org/officeDocument/2006/relationships/hyperlink" Target="http://www.sec.gov/Archives/edgar/data/1411685/000141588911001342/ex10-11302011_101125.htm" TargetMode="External"/><Relationship Id="rId134" Type="http://schemas.openxmlformats.org/officeDocument/2006/relationships/hyperlink" Target="http://www.sec.gov/Archives/edgar/data/1411685/000141588911001342/ex10-11302011_101124.htm" TargetMode="External"/><Relationship Id="rId136" Type="http://schemas.openxmlformats.org/officeDocument/2006/relationships/hyperlink" Target="http://www.sec.gov/Archives/edgar/data/1411685/000141588911001366/ex10-12072011_111202.htm" TargetMode="External"/><Relationship Id="rId137" Type="http://schemas.openxmlformats.org/officeDocument/2006/relationships/hyperlink" Target="http://www.sec.gov/Archives/edgar/data/1411685/000141588912000973/ex10-57.htm" TargetMode="External"/><Relationship Id="rId138" Type="http://schemas.openxmlformats.org/officeDocument/2006/relationships/hyperlink" Target="http://www.sec.gov/Archives/edgar/data/1411685/000141588912001496/ex10-1.htm" TargetMode="External"/><Relationship Id="rId139" Type="http://schemas.openxmlformats.org/officeDocument/2006/relationships/hyperlink" Target="http://www.sec.gov/Archives/edgar/data/1411685/000141588912001749/ex10-11202012_021125.htm" TargetMode="External"/><Relationship Id="rId140" Type="http://schemas.openxmlformats.org/officeDocument/2006/relationships/hyperlink" Target="http://www.sec.gov/Archives/edgar/data/1411685/000141588913000263/npeaamend.htm" TargetMode="External"/><Relationship Id="rId141" Type="http://schemas.openxmlformats.org/officeDocument/2006/relationships/hyperlink" Target="http://www.sec.gov/Archives/edgar/data/1411685/000141588913000316/ex10-02282013_010201.htm" TargetMode="External"/><Relationship Id="rId142" Type="http://schemas.openxmlformats.org/officeDocument/2006/relationships/hyperlink" Target="http://www.sec.gov/Archives/edgar/data/1411685/000141588913000363/ex10-03062013_040313.htm" TargetMode="External"/><Relationship Id="rId143" Type="http://schemas.openxmlformats.org/officeDocument/2006/relationships/hyperlink" Target="http://www.sec.gov/Archives/edgar/data/1411685/000141588913001409/leasebaysidevistagen.htm" TargetMode="External"/><Relationship Id="rId144" Type="http://schemas.openxmlformats.org/officeDocument/2006/relationships/hyperlink" Target="http://www.sec.gov/Archives/edgar/data/1411685/000141588913001409/saxeindemnification.htm" TargetMode="External"/><Relationship Id="rId145" Type="http://schemas.openxmlformats.org/officeDocument/2006/relationships/hyperlink" Target="http://www.sec.gov/Archives/edgar/data/1411685/000141588913001409/singhindemnification.htm" TargetMode="External"/><Relationship Id="rId146" Type="http://schemas.openxmlformats.org/officeDocument/2006/relationships/hyperlink" Target="http://www.sec.gov/Archives/edgar/data/1411685/000141588913001409/snodgrassindemnification.htm" TargetMode="External"/><Relationship Id="rId147" Type="http://schemas.openxmlformats.org/officeDocument/2006/relationships/hyperlink" Target="http://www.sec.gov/Archives/edgar/data/1411685/000141588913001409/underdownindemnification.htm" TargetMode="External"/><Relationship Id="rId148" Type="http://schemas.openxmlformats.org/officeDocument/2006/relationships/hyperlink" Target="http://www.sec.gov/Archives/edgar/data/1411685/000141588913001409/dotsonindemnification.htm" TargetMode="External"/><Relationship Id="rId149" Type="http://schemas.openxmlformats.org/officeDocument/2006/relationships/hyperlink" Target="http://www.sec.gov/Archives/edgar/data/1411685/000141588914001957/ex10-102a.htm" TargetMode="External"/><Relationship Id="rId150" Type="http://schemas.openxmlformats.org/officeDocument/2006/relationships/hyperlink" Target="http://www.sec.gov/Archives/edgar/data/1411685/000141588914001957/ex10-103.htm" TargetMode="External"/><Relationship Id="rId151" Type="http://schemas.openxmlformats.org/officeDocument/2006/relationships/hyperlink" Target="http://www.sec.gov/Archives/edgar/data/1411685/000141588914001957/ex10-104.htm" TargetMode="External"/><Relationship Id="rId152" Type="http://schemas.openxmlformats.org/officeDocument/2006/relationships/hyperlink" Target="http://www.sec.gov/Archives/edgar/data/1411685/000141588916004564/ex10-01292016_020122.htm" TargetMode="External"/><Relationship Id="rId153" Type="http://schemas.openxmlformats.org/officeDocument/2006/relationships/hyperlink" Target="http://www.sec.gov/Archives/edgar/data/1411685/000141588916006331/ex10-112.htm" TargetMode="External"/><Relationship Id="rId154" Type="http://schemas.openxmlformats.org/officeDocument/2006/relationships/hyperlink" Target="http://www.sec.gov/Archives/edgar/data/1411685/000141588916005945/ex1-1.htm" TargetMode="External"/><Relationship Id="rId155" Type="http://schemas.openxmlformats.org/officeDocument/2006/relationships/hyperlink" Target="http://www.sec.gov/Archives/edgar/data/1411685/000141588916005945/ex4-1.htm" TargetMode="External"/><Relationship Id="rId156" Type="http://schemas.openxmlformats.org/officeDocument/2006/relationships/hyperlink" Target="http://www.sec.gov/Archives/edgar/data/1411685/000141588916005945/ex4-2.htm" TargetMode="External"/><Relationship Id="rId157" Type="http://schemas.openxmlformats.org/officeDocument/2006/relationships/hyperlink" Target="http://www.sec.gov/Archives/edgar/data/1411685/000141588916006331/ex10-116.htm" TargetMode="External"/><Relationship Id="rId158" Type="http://schemas.openxmlformats.org/officeDocument/2006/relationships/hyperlink" Target="http://www.sec.gov/Archives/edgar/data/1411685/000141588916006331/ex10-117.htm" TargetMode="External"/><Relationship Id="rId159" Type="http://schemas.openxmlformats.org/officeDocument/2006/relationships/hyperlink" Target="http://www.sec.gov/Archives/edgar/data/1411685/000141588916007413/ex10-1.htm" TargetMode="External"/><Relationship Id="rId160" Type="http://schemas.openxmlformats.org/officeDocument/2006/relationships/hyperlink" Target="http://www.sec.gov/Archives/edgar/data/1411685/000141588916007413/ex10-2.htm" TargetMode="External"/><Relationship Id="rId161" Type="http://schemas.openxmlformats.org/officeDocument/2006/relationships/hyperlink" Target="http://www.sec.gov/Archives/edgar/data/1411685/000165495417004468/ex10-1.htm" TargetMode="External"/><Relationship Id="rId162" Type="http://schemas.openxmlformats.org/officeDocument/2006/relationships/hyperlink" Target="http://www.sec.gov/Archives/edgar/data/1411685/000165495417003815/ex10-2.htm" TargetMode="External"/><Relationship Id="rId164" Type="http://schemas.openxmlformats.org/officeDocument/2006/relationships/hyperlink" Target="http://www.sec.gov/Archives/edgar/data/1411685/000165495417005976/ex10-122.htm" TargetMode="External"/><Relationship Id="rId165" Type="http://schemas.openxmlformats.org/officeDocument/2006/relationships/hyperlink" Target="http://www.sec.gov/Archives/edgar/data/1411685/000165495417008025/vsta_ex11.htm" TargetMode="External"/><Relationship Id="rId166" Type="http://schemas.openxmlformats.org/officeDocument/2006/relationships/hyperlink" Target="http://www.sec.gov/Archives/edgar/data/1411685/000165495417008025/ex4-1.htm" TargetMode="External"/><Relationship Id="rId167" Type="http://schemas.openxmlformats.org/officeDocument/2006/relationships/hyperlink" Target="http://www.sec.gov/Archives/edgar/data/1411685/000165495417008025/ex4-2.htm" TargetMode="External"/><Relationship Id="rId168" Type="http://schemas.openxmlformats.org/officeDocument/2006/relationships/hyperlink" Target="http://www.sec.gov/Archives/edgar/data/1411685/000165495417011630/ex4-1.htm" TargetMode="External"/><Relationship Id="rId169" Type="http://schemas.openxmlformats.org/officeDocument/2006/relationships/hyperlink" Target="http://www.sec.gov/Archives/edgar/data/1411685/000141588911000362/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2020-01-15T18:26:45Z</dcterms:created>
  <dcterms:modified xsi:type="dcterms:W3CDTF">2020-01-15T18:26:45Z</dcterms:modified>
</cp:coreProperties>
</file>