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pPr>
      <w:r>
        <w:rPr>
          <w:rFonts w:ascii="Times New Roman;serif" w:hAnsi="Times New Roman;serif"/>
          <w:b/>
          <w:color w:val="000000"/>
          <w:sz w:val="32"/>
        </w:rPr>
        <w:t>Form</w:t>
      </w:r>
      <w:r>
        <w:rPr>
          <w:color w:val="000000"/>
        </w:rPr>
        <w:t xml:space="preserve"> </w:t>
      </w:r>
      <w:r>
        <w:rPr>
          <w:rFonts w:ascii="Times New Roman;serif" w:hAnsi="Times New Roman;serif"/>
          <w:b/>
          <w:color w:val="000000"/>
          <w:sz w:val="32"/>
        </w:rPr>
        <w:t>10-Q</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001-37761</w:t>
      </w:r>
    </w:p>
    <w:p>
      <w:pPr>
        <w:pStyle w:val="TextBody"/>
        <w:bidi w:val="0"/>
        <w:spacing w:lineRule="auto" w:line="288" w:before="200" w:after="283"/>
        <w:jc w:val="center"/>
        <w:rPr>
          <w:rFonts w:ascii="Times New Roman;serif" w:hAnsi="Times New Roman;serif"/>
          <w:b/>
          <w:color w:val="000000"/>
          <w:sz w:val="44"/>
        </w:rPr>
      </w:pPr>
      <w:r>
        <w:rPr>
          <w:rFonts w:ascii="Times New Roman;serif" w:hAnsi="Times New Roman;serif"/>
          <w:b/>
          <w:color w:val="000000"/>
          <w:sz w:val="4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4334" w:type="dxa"/>
        <w:jc w:val="left"/>
        <w:tblInd w:w="0" w:type="dxa"/>
        <w:tblLayout w:type="fixed"/>
        <w:tblCellMar>
          <w:top w:w="28" w:type="dxa"/>
          <w:left w:w="28" w:type="dxa"/>
          <w:bottom w:w="28" w:type="dxa"/>
          <w:right w:w="28" w:type="dxa"/>
        </w:tblCellMar>
      </w:tblPr>
      <w:tblGrid>
        <w:gridCol w:w="964"/>
        <w:gridCol w:w="849"/>
        <w:gridCol w:w="856"/>
        <w:gridCol w:w="487"/>
        <w:gridCol w:w="487"/>
        <w:gridCol w:w="691"/>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20-5093315</w:t>
            </w:r>
          </w:p>
        </w:tc>
      </w:tr>
      <w:tr>
        <w:trPr/>
        <w:tc>
          <w:tcPr>
            <w:tcW w:w="26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 or organization)</w:t>
            </w:r>
          </w:p>
        </w:tc>
        <w:tc>
          <w:tcPr>
            <w:tcW w:w="16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(650) 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November 12, 2025, 39,495,451 shares of the registrant’s common stock, $0.001 par value,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21" w:type="dxa"/>
        <w:jc w:val="center"/>
        <w:tblInd w:w="0" w:type="dxa"/>
        <w:tblLayout w:type="fixed"/>
        <w:tblCellMar>
          <w:top w:w="28" w:type="dxa"/>
          <w:left w:w="28" w:type="dxa"/>
          <w:bottom w:w="28" w:type="dxa"/>
          <w:right w:w="28" w:type="dxa"/>
        </w:tblCellMar>
      </w:tblPr>
      <w:tblGrid>
        <w:gridCol w:w="2891"/>
        <w:gridCol w:w="2539"/>
        <w:gridCol w:w="2550"/>
        <w:gridCol w:w="158"/>
        <w:gridCol w:w="158"/>
        <w:gridCol w:w="225"/>
      </w:tblGrid>
      <w:tr>
        <w:trPr/>
        <w:tc>
          <w:tcPr>
            <w:tcW w:w="289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0">
              <w:r>
                <w:rPr>
                  <w:rStyle w:val="InternetLink"/>
                  <w:rFonts w:ascii="Times New Roman;serif" w:hAnsi="Times New Roman;serif"/>
                  <w:b/>
                  <w:strike w:val="false"/>
                  <w:dstrike w:val="false"/>
                  <w:color w:val="000000"/>
                  <w:sz w:val="20"/>
                  <w:u w:val="none"/>
                  <w:effect w:val="none"/>
                </w:rPr>
                <w:t>PART I. 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3">
              <w:r>
                <w:rPr>
                  <w:rStyle w:val="InternetLink"/>
                  <w:rFonts w:ascii="Times New Roman;serif" w:hAnsi="Times New Roman;serif"/>
                  <w:b w:val="false"/>
                  <w:strike w:val="false"/>
                  <w:dstrike w:val="false"/>
                  <w:color w:val="000000"/>
                  <w:sz w:val="20"/>
                  <w:u w:val="none"/>
                  <w:effect w:val="none"/>
                </w:rPr>
                <w:t>Item 1. Condensed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13">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6">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16">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9">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19">
              <w:r>
                <w:rPr>
                  <w:rStyle w:val="InternetLink"/>
                  <w:rFonts w:ascii="Times New Roman;serif" w:hAnsi="Times New Roman;serif"/>
                  <w:b w:val="false"/>
                  <w:strike w:val="false"/>
                  <w:dstrike w:val="false"/>
                  <w:color w:val="000000"/>
                  <w:sz w:val="20"/>
                  <w:u w:val="none"/>
                  <w:effect w:val="none"/>
                </w:rPr>
                <w:t>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22">
              <w:r>
                <w:rPr>
                  <w:rStyle w:val="InternetLink"/>
                  <w:rFonts w:ascii="Times New Roman;serif" w:hAnsi="Times New Roman;serif"/>
                  <w:b w:val="false"/>
                  <w:strike w:val="false"/>
                  <w:dstrike w:val="false"/>
                  <w:color w:val="000000"/>
                  <w:sz w:val="20"/>
                  <w:u w:val="none"/>
                  <w:effect w:val="none"/>
                </w:rPr>
                <w:t>Condensed Consolidated Statements of Changes in Stockholders’ Equity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22">
              <w:r>
                <w:rPr>
                  <w:rStyle w:val="InternetLink"/>
                  <w:rFonts w:ascii="Times New Roman;serif" w:hAnsi="Times New Roman;serif"/>
                  <w:b w:val="false"/>
                  <w:strike w:val="false"/>
                  <w:dstrike w:val="false"/>
                  <w:color w:val="000000"/>
                  <w:sz w:val="20"/>
                  <w:u w:val="none"/>
                  <w:effect w:val="none"/>
                </w:rPr>
                <w:t>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25">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25">
              <w:r>
                <w:rPr>
                  <w:rStyle w:val="InternetLink"/>
                  <w:rFonts w:ascii="Times New Roman;serif" w:hAnsi="Times New Roman;serif"/>
                  <w:b w:val="false"/>
                  <w:strike w:val="false"/>
                  <w:dstrike w:val="false"/>
                  <w:color w:val="000000"/>
                  <w:sz w:val="20"/>
                  <w:u w:val="none"/>
                  <w:effect w:val="none"/>
                </w:rPr>
                <w:t>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28">
              <w:r>
                <w:rPr>
                  <w:rStyle w:val="InternetLink"/>
                  <w:rFonts w:ascii="Times New Roman;serif" w:hAnsi="Times New Roman;serif"/>
                  <w:b w:val="false"/>
                  <w:strike w:val="false"/>
                  <w:dstrike w:val="false"/>
                  <w:color w:val="000000"/>
                  <w:sz w:val="20"/>
                  <w:u w:val="none"/>
                  <w:effect w:val="none"/>
                </w:rPr>
                <w:t>Notes to the Condensed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28">
              <w:r>
                <w:rPr>
                  <w:rStyle w:val="InternetLink"/>
                  <w:rFonts w:ascii="Times New Roman;serif" w:hAnsi="Times New Roman;serif"/>
                  <w:b w:val="false"/>
                  <w:strike w:val="false"/>
                  <w:dstrike w:val="false"/>
                  <w:color w:val="000000"/>
                  <w:sz w:val="20"/>
                  <w:u w:val="none"/>
                  <w:effect w:val="none"/>
                </w:rPr>
                <w:t>5</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61">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61">
              <w:r>
                <w:rPr>
                  <w:rStyle w:val="InternetLink"/>
                  <w:rFonts w:ascii="Times New Roman;serif" w:hAnsi="Times New Roman;serif"/>
                  <w:b w:val="false"/>
                  <w:strike w:val="false"/>
                  <w:dstrike w:val="false"/>
                  <w:color w:val="000000"/>
                  <w:sz w:val="20"/>
                  <w:u w:val="none"/>
                  <w:effect w:val="none"/>
                </w:rPr>
                <w:t>14</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91">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91">
              <w:r>
                <w:rPr>
                  <w:rStyle w:val="InternetLink"/>
                  <w:rFonts w:ascii="Times New Roman;serif" w:hAnsi="Times New Roman;serif"/>
                  <w:b w:val="false"/>
                  <w:strike w:val="false"/>
                  <w:dstrike w:val="false"/>
                  <w:color w:val="000000"/>
                  <w:sz w:val="20"/>
                  <w:u w:val="none"/>
                  <w:effect w:val="none"/>
                </w:rPr>
                <w:t>27</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94">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94">
              <w:r>
                <w:rPr>
                  <w:rStyle w:val="InternetLink"/>
                  <w:rFonts w:ascii="Times New Roman;serif" w:hAnsi="Times New Roman;serif"/>
                  <w:b w:val="false"/>
                  <w:strike w:val="false"/>
                  <w:dstrike w:val="false"/>
                  <w:color w:val="000000"/>
                  <w:sz w:val="20"/>
                  <w:u w:val="none"/>
                  <w:effect w:val="none"/>
                </w:rPr>
                <w:t>27</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97">
              <w:r>
                <w:rPr>
                  <w:rStyle w:val="InternetLink"/>
                  <w:rFonts w:ascii="Times New Roman;serif" w:hAnsi="Times New Roman;serif"/>
                  <w:b/>
                  <w:strike w:val="false"/>
                  <w:dstrike w:val="false"/>
                  <w:color w:val="000000"/>
                  <w:sz w:val="20"/>
                  <w:u w:val="none"/>
                  <w:effect w:val="none"/>
                </w:rPr>
                <w:t>PART II.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00">
              <w:r>
                <w:rPr>
                  <w:rStyle w:val="InternetLink"/>
                  <w:rFonts w:ascii="Times New Roman;serif" w:hAnsi="Times New Roman;serif"/>
                  <w:b w:val="false"/>
                  <w:strike w:val="false"/>
                  <w:dstrike w:val="false"/>
                  <w:color w:val="000000"/>
                  <w:sz w:val="20"/>
                  <w:u w:val="none"/>
                  <w:effect w:val="none"/>
                </w:rPr>
                <w:t>Item 1. Legal Proceedings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100">
              <w:r>
                <w:rPr>
                  <w:rStyle w:val="InternetLink"/>
                  <w:rFonts w:ascii="Times New Roman;serif" w:hAnsi="Times New Roman;serif"/>
                  <w:b w:val="false"/>
                  <w:strike w:val="false"/>
                  <w:dstrike w:val="false"/>
                  <w:color w:val="000000"/>
                  <w:sz w:val="20"/>
                  <w:u w:val="none"/>
                  <w:effect w:val="none"/>
                </w:rPr>
                <w:t>28</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03">
              <w:r>
                <w:rPr>
                  <w:rStyle w:val="InternetLink"/>
                  <w:rFonts w:ascii="Times New Roman;serif" w:hAnsi="Times New Roman;serif"/>
                  <w:b w:val="false"/>
                  <w:strike w:val="false"/>
                  <w:dstrike w:val="false"/>
                  <w:color w:val="000000"/>
                  <w:sz w:val="20"/>
                  <w:u w:val="none"/>
                  <w:effect w:val="non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103">
              <w:r>
                <w:rPr>
                  <w:rStyle w:val="InternetLink"/>
                  <w:rFonts w:ascii="Times New Roman;serif" w:hAnsi="Times New Roman;serif"/>
                  <w:b w:val="false"/>
                  <w:strike w:val="false"/>
                  <w:dstrike w:val="false"/>
                  <w:color w:val="000000"/>
                  <w:sz w:val="20"/>
                  <w:u w:val="none"/>
                  <w:effect w:val="none"/>
                </w:rPr>
                <w:t>28</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06">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106">
              <w:r>
                <w:rPr>
                  <w:rStyle w:val="InternetLink"/>
                  <w:rFonts w:ascii="Times New Roman;serif" w:hAnsi="Times New Roman;serif"/>
                  <w:b w:val="false"/>
                  <w:strike w:val="false"/>
                  <w:dstrike w:val="false"/>
                  <w:color w:val="000000"/>
                  <w:sz w:val="20"/>
                  <w:u w:val="none"/>
                  <w:effect w:val="none"/>
                </w:rPr>
                <w:t>80</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09">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109">
              <w:r>
                <w:rPr>
                  <w:rStyle w:val="InternetLink"/>
                  <w:rFonts w:ascii="Times New Roman;serif" w:hAnsi="Times New Roman;serif"/>
                  <w:b w:val="false"/>
                  <w:strike w:val="false"/>
                  <w:dstrike w:val="false"/>
                  <w:color w:val="000000"/>
                  <w:sz w:val="20"/>
                  <w:u w:val="none"/>
                  <w:effect w:val="none"/>
                </w:rPr>
                <w:t>80</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12">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112">
              <w:r>
                <w:rPr>
                  <w:rStyle w:val="InternetLink"/>
                  <w:rFonts w:ascii="Times New Roman;serif" w:hAnsi="Times New Roman;serif"/>
                  <w:b w:val="false"/>
                  <w:strike w:val="false"/>
                  <w:dstrike w:val="false"/>
                  <w:color w:val="000000"/>
                  <w:sz w:val="20"/>
                  <w:u w:val="none"/>
                  <w:effect w:val="none"/>
                </w:rPr>
                <w:t>81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15">
              <w:r>
                <w:rPr>
                  <w:rStyle w:val="InternetLink"/>
                  <w:rFonts w:ascii="Times New Roman;serif" w:hAnsi="Times New Roman;serif"/>
                  <w:b w:val="false"/>
                  <w:strike w:val="false"/>
                  <w:dstrike w:val="false"/>
                  <w:color w:val="000000"/>
                  <w:sz w:val="20"/>
                  <w:u w:val="none"/>
                  <w:effect w:val="non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115">
              <w:r>
                <w:rPr>
                  <w:rStyle w:val="InternetLink"/>
                  <w:rFonts w:ascii="Times New Roman;serif" w:hAnsi="Times New Roman;serif"/>
                  <w:b w:val="false"/>
                  <w:strike w:val="false"/>
                  <w:dstrike w:val="false"/>
                  <w:color w:val="000000"/>
                  <w:sz w:val="20"/>
                  <w:u w:val="none"/>
                  <w:effect w:val="none"/>
                </w:rPr>
                <w:t>81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18">
              <w:r>
                <w:rPr>
                  <w:rStyle w:val="InternetLink"/>
                  <w:rFonts w:ascii="Times New Roman;serif" w:hAnsi="Times New Roman;serif"/>
                  <w:b w:val="false"/>
                  <w:strike w:val="false"/>
                  <w:dstrike w:val="false"/>
                  <w:color w:val="000000"/>
                  <w:sz w:val="20"/>
                  <w:u w:val="none"/>
                  <w:effect w:val="none"/>
                </w:rPr>
                <w:t>Item 6. 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118">
              <w:r>
                <w:rPr>
                  <w:rStyle w:val="InternetLink"/>
                  <w:rFonts w:ascii="Times New Roman;serif" w:hAnsi="Times New Roman;serif"/>
                  <w:b w:val="false"/>
                  <w:strike w:val="false"/>
                  <w:dstrike w:val="false"/>
                  <w:color w:val="000000"/>
                  <w:sz w:val="20"/>
                  <w:u w:val="none"/>
                  <w:effect w:val="none"/>
                </w:rPr>
                <w:t>81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2e0b430a4b8421bb475e011225b5a2e_121">
              <w:r>
                <w:rPr>
                  <w:rStyle w:val="InternetLink"/>
                  <w:rFonts w:ascii="Times New Roman;serif" w:hAnsi="Times New Roman;serif"/>
                  <w:b w:val="false"/>
                  <w:strike w:val="false"/>
                  <w:dstrike w:val="false"/>
                  <w:color w:val="000000"/>
                  <w:sz w:val="20"/>
                  <w:u w:val="none"/>
                  <w:effect w:val="non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42e0b430a4b8421bb475e011225b5a2e_121">
              <w:r>
                <w:rPr>
                  <w:rStyle w:val="InternetLink"/>
                  <w:rFonts w:ascii="Times New Roman;serif" w:hAnsi="Times New Roman;serif"/>
                  <w:b w:val="false"/>
                  <w:strike w:val="false"/>
                  <w:dstrike w:val="false"/>
                  <w:color w:val="000000"/>
                  <w:sz w:val="20"/>
                  <w:u w:val="none"/>
                  <w:effect w:val="none"/>
                </w:rPr>
                <w:t>82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Item</w:t>
      </w:r>
      <w:r>
        <w:rPr>
          <w:color w:val="000000"/>
        </w:rPr>
        <w:t xml:space="preserve"> </w:t>
      </w:r>
      <w:r>
        <w:rPr>
          <w:rFonts w:ascii="Times New Roman;serif" w:hAnsi="Times New Roman;serif"/>
          <w:b/>
          <w:color w:val="000000"/>
          <w:sz w:val="20"/>
        </w:rPr>
        <w:t>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926"/>
        <w:gridCol w:w="2388"/>
        <w:gridCol w:w="2330"/>
        <w:gridCol w:w="232"/>
        <w:gridCol w:w="794"/>
        <w:gridCol w:w="119"/>
        <w:gridCol w:w="109"/>
        <w:gridCol w:w="109"/>
        <w:gridCol w:w="109"/>
        <w:gridCol w:w="211"/>
        <w:gridCol w:w="721"/>
        <w:gridCol w:w="157"/>
      </w:tblGrid>
      <w:tr>
        <w:trPr/>
        <w:tc>
          <w:tcPr>
            <w:tcW w:w="2926"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w:t>
              <w:br/>
              <w:t>2025</w:t>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78,934 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 operating lease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80,929 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84,341 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LIABILITIES AND STOCKHOLDERS</w:t>
            </w:r>
            <w:r>
              <w:rPr>
                <w:color w:val="000000"/>
              </w:rPr>
              <w:t xml:space="preserve">’ </w:t>
            </w:r>
            <w:r>
              <w:rPr>
                <w:rFonts w:ascii="Times New Roman;serif" w:hAnsi="Times New Roman;serif"/>
                <w:b/>
                <w:color w:val="000000"/>
                <w:sz w:val="20"/>
              </w:rPr>
              <w:t>EQUITY</w:t>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 portion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current portion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non-current portion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non-current portion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at September 30, 2025 and March 31, 2025; no shares outstanding at September 30, 2025 and March 31, 2025</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325,000,000 shares authorized at September 30, 2025 and March 31, 2025; 38,895,568 and 29,001,481 shares issued at September 30, 2025 and March 31, 2025, respectively</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512,398 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481,956 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4,522 shares of common stock held at September 30, 2025 and March 31, 2025</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(442,144)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(407,632)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66,339 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70,390 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80,929 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84,341 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759"/>
        <w:gridCol w:w="1487"/>
        <w:gridCol w:w="1506"/>
        <w:gridCol w:w="211"/>
        <w:gridCol w:w="786"/>
        <w:gridCol w:w="109"/>
        <w:gridCol w:w="109"/>
        <w:gridCol w:w="109"/>
        <w:gridCol w:w="109"/>
        <w:gridCol w:w="211"/>
        <w:gridCol w:w="786"/>
        <w:gridCol w:w="109"/>
        <w:gridCol w:w="109"/>
        <w:gridCol w:w="109"/>
        <w:gridCol w:w="109"/>
        <w:gridCol w:w="211"/>
        <w:gridCol w:w="786"/>
        <w:gridCol w:w="109"/>
        <w:gridCol w:w="109"/>
        <w:gridCol w:w="109"/>
        <w:gridCol w:w="109"/>
        <w:gridCol w:w="211"/>
        <w:gridCol w:w="786"/>
        <w:gridCol w:w="157"/>
      </w:tblGrid>
      <w:tr>
        <w:trPr/>
        <w:tc>
          <w:tcPr>
            <w:tcW w:w="175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(26,358)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(23,687)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w:t>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(23,672)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35,749,160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30,632,347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33,850,346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30,617,970</w:t>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pPr>
      <w:r>
        <w:rPr>
          <w:rFonts w:ascii="Times New Roman;serif" w:hAnsi="Times New Roman;serif"/>
          <w:b/>
          <w:color w:val="000000"/>
          <w:sz w:val="20"/>
        </w:rPr>
        <w:t>CONDENSED CONSOLIDATED STATEMENTS OF CHANGES IN STOCKHOLDERS</w:t>
      </w:r>
      <w:r>
        <w:rPr>
          <w:color w:val="000000"/>
        </w:rPr>
        <w:t xml:space="preserve">’ </w:t>
      </w:r>
      <w:r>
        <w:rPr>
          <w:rFonts w:ascii="Times New Roman;serif" w:hAnsi="Times New Roman;serif"/>
          <w:b/>
          <w:color w:val="000000"/>
          <w:sz w:val="20"/>
        </w:rPr>
        <w:t xml:space="preserve">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65" w:type="dxa"/>
        <w:jc w:val="center"/>
        <w:tblInd w:w="0" w:type="dxa"/>
        <w:tblLayout w:type="fixed"/>
        <w:tblCellMar>
          <w:top w:w="28" w:type="dxa"/>
          <w:left w:w="28" w:type="dxa"/>
          <w:bottom w:w="28" w:type="dxa"/>
          <w:right w:w="28" w:type="dxa"/>
        </w:tblCellMar>
      </w:tblPr>
      <w:tblGrid>
        <w:gridCol w:w="925"/>
        <w:gridCol w:w="220"/>
        <w:gridCol w:w="221"/>
        <w:gridCol w:w="304"/>
        <w:gridCol w:w="304"/>
        <w:gridCol w:w="308"/>
        <w:gridCol w:w="109"/>
        <w:gridCol w:w="109"/>
        <w:gridCol w:w="109"/>
        <w:gridCol w:w="212"/>
        <w:gridCol w:w="359"/>
        <w:gridCol w:w="120"/>
        <w:gridCol w:w="109"/>
        <w:gridCol w:w="109"/>
        <w:gridCol w:w="109"/>
        <w:gridCol w:w="196"/>
        <w:gridCol w:w="736"/>
        <w:gridCol w:w="109"/>
        <w:gridCol w:w="109"/>
        <w:gridCol w:w="109"/>
        <w:gridCol w:w="109"/>
        <w:gridCol w:w="196"/>
        <w:gridCol w:w="571"/>
        <w:gridCol w:w="109"/>
        <w:gridCol w:w="109"/>
        <w:gridCol w:w="109"/>
        <w:gridCol w:w="109"/>
        <w:gridCol w:w="335"/>
        <w:gridCol w:w="694"/>
        <w:gridCol w:w="187"/>
        <w:gridCol w:w="109"/>
        <w:gridCol w:w="109"/>
        <w:gridCol w:w="109"/>
        <w:gridCol w:w="196"/>
        <w:gridCol w:w="751"/>
        <w:gridCol w:w="109"/>
        <w:gridCol w:w="109"/>
        <w:gridCol w:w="109"/>
        <w:gridCol w:w="109"/>
        <w:gridCol w:w="205"/>
        <w:gridCol w:w="773"/>
        <w:gridCol w:w="163"/>
      </w:tblGrid>
      <w:tr>
        <w:trPr/>
        <w:tc>
          <w:tcPr>
            <w:tcW w:w="9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Treasury</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March 31,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27,029,731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(356,214)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114,286 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Sale of common stock pursuant to 2019 Employee Stock Purchase Plan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 available-for-sale, net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(10,733)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27,059,629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475,689 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(366,947)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104,803 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 available-for-sale, net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(12,961)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27,059,629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476,801 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(379,908)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92,974 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58" w:type="dxa"/>
        <w:jc w:val="center"/>
        <w:tblInd w:w="0" w:type="dxa"/>
        <w:tblLayout w:type="fixed"/>
        <w:tblCellMar>
          <w:top w:w="28" w:type="dxa"/>
          <w:left w:w="28" w:type="dxa"/>
          <w:bottom w:w="28" w:type="dxa"/>
          <w:right w:w="28" w:type="dxa"/>
        </w:tblCellMar>
      </w:tblPr>
      <w:tblGrid>
        <w:gridCol w:w="925"/>
        <w:gridCol w:w="220"/>
        <w:gridCol w:w="221"/>
        <w:gridCol w:w="480"/>
        <w:gridCol w:w="481"/>
        <w:gridCol w:w="308"/>
        <w:gridCol w:w="109"/>
        <w:gridCol w:w="109"/>
        <w:gridCol w:w="109"/>
        <w:gridCol w:w="212"/>
        <w:gridCol w:w="359"/>
        <w:gridCol w:w="120"/>
        <w:gridCol w:w="109"/>
        <w:gridCol w:w="109"/>
        <w:gridCol w:w="109"/>
        <w:gridCol w:w="196"/>
        <w:gridCol w:w="736"/>
        <w:gridCol w:w="109"/>
        <w:gridCol w:w="109"/>
        <w:gridCol w:w="109"/>
        <w:gridCol w:w="109"/>
        <w:gridCol w:w="196"/>
        <w:gridCol w:w="571"/>
        <w:gridCol w:w="109"/>
        <w:gridCol w:w="109"/>
        <w:gridCol w:w="109"/>
        <w:gridCol w:w="109"/>
        <w:gridCol w:w="374"/>
        <w:gridCol w:w="632"/>
        <w:gridCol w:w="210"/>
        <w:gridCol w:w="109"/>
        <w:gridCol w:w="109"/>
        <w:gridCol w:w="109"/>
        <w:gridCol w:w="196"/>
        <w:gridCol w:w="751"/>
        <w:gridCol w:w="109"/>
        <w:gridCol w:w="109"/>
        <w:gridCol w:w="109"/>
        <w:gridCol w:w="109"/>
        <w:gridCol w:w="212"/>
        <w:gridCol w:w="701"/>
        <w:gridCol w:w="168"/>
      </w:tblGrid>
      <w:tr>
        <w:trPr/>
        <w:tc>
          <w:tcPr>
            <w:tcW w:w="9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Treasury</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Equity </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29,001,481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(407,632)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70,390 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Sale of common stock pursuant to 2019 Employee Stock Purchase Plan</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Open Market Sale Agreement, net of issuance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190,067 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 available-for-sale, net</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(15,095)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29,286,585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483,430 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(422,727)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56,765 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Open Market Sale Agreement, net of issuance costs</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9,608,772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27,882</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 available-for-sale, net</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(19,417)</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38,895,568 </w:t>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512,398 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(442,144)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66,339 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64"/>
        <w:gridCol w:w="2413"/>
        <w:gridCol w:w="2430"/>
        <w:gridCol w:w="211"/>
        <w:gridCol w:w="792"/>
        <w:gridCol w:w="109"/>
        <w:gridCol w:w="109"/>
        <w:gridCol w:w="109"/>
        <w:gridCol w:w="109"/>
        <w:gridCol w:w="211"/>
        <w:gridCol w:w="792"/>
        <w:gridCol w:w="156"/>
      </w:tblGrid>
      <w:tr>
        <w:trPr/>
        <w:tc>
          <w:tcPr>
            <w:tcW w:w="2764"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marketable securities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deferred contract acquisition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laboratory and other equipment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common stock under Open Market Sale Agreement, net of offering costs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common stock under 2019 Employee Stock Purchase Plan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note payable for insurance policy</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notes payable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(34,920)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activities:</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equipment included in 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Description of Business</w:t>
      </w:r>
    </w:p>
    <w:p>
      <w:pPr>
        <w:pStyle w:val="TextBody"/>
        <w:bidi w:val="0"/>
        <w:spacing w:lineRule="auto" w:line="268" w:before="0" w:after="0"/>
        <w:jc w:val="both"/>
        <w:rPr/>
      </w:pPr>
      <w:r>
        <w:rPr>
          <w:rFonts w:ascii="Times New Roman;serif" w:hAnsi="Times New Roman;serif"/>
          <w:b w:val="false"/>
          <w:color w:val="000000"/>
          <w:sz w:val="20"/>
        </w:rPr>
        <w:t>Vistagen Therapeutics, Inc., a Nevada corporation (</w:t>
      </w:r>
      <w:r>
        <w:rPr>
          <w:rFonts w:ascii="Times New Roman;serif" w:hAnsi="Times New Roman;serif"/>
          <w:b w:val="false"/>
          <w:i/>
          <w:color w:val="000000"/>
          <w:sz w:val="20"/>
        </w:rPr>
        <w:t>Vistagen, the Company, we, our, or us</w:t>
      </w:r>
      <w:r>
        <w:rPr>
          <w:rFonts w:ascii="Times New Roman;serif" w:hAnsi="Times New Roman;serif"/>
          <w:b w:val="false"/>
          <w:color w:val="000000"/>
          <w:sz w:val="20"/>
        </w:rPr>
        <w:t>), is a late clinical-stage biopharmaceutical company leveraging a deep understanding of nose-to-brain neurocircuitry to develop and commercialize a new class of non-systemic intranasal product candidates called pherines. Our clinical-stage neuroscience pipeline currently consists of five investigational pherine product candidates, each with a novel mechanism of action (</w:t>
      </w:r>
      <w:r>
        <w:rPr>
          <w:rFonts w:ascii="Times New Roman;serif" w:hAnsi="Times New Roman;serif"/>
          <w:b w:val="false"/>
          <w:i/>
          <w:color w:val="000000"/>
          <w:sz w:val="20"/>
        </w:rPr>
        <w:t>MOA</w:t>
      </w:r>
      <w:r>
        <w:rPr>
          <w:rFonts w:ascii="Times New Roman;serif" w:hAnsi="Times New Roman;serif"/>
          <w:b w:val="false"/>
          <w:color w:val="000000"/>
          <w:sz w:val="20"/>
        </w:rPr>
        <w:t>) and positive clinical data in their targeted indication(s). Pherines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 We are passionate about developing transformative treatment options with potential to bring meaningful relief to patients underserved by suboptimal standards of care and are working to deliver long term value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Basis of Presentation, Principles of Consolidation and Summary of Significant Accounting Policies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00" w:after="200"/>
        <w:jc w:val="both"/>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of America (</w:t>
      </w:r>
      <w:r>
        <w:rPr>
          <w:rFonts w:ascii="Times New Roman;serif" w:hAnsi="Times New Roman;serif"/>
          <w:b w:val="false"/>
          <w:i/>
          <w:color w:val="000000"/>
          <w:sz w:val="20"/>
        </w:rPr>
        <w:t>U.S. GAAP</w:t>
      </w:r>
      <w:r>
        <w:rPr>
          <w:rFonts w:ascii="Times New Roman;serif" w:hAnsi="Times New Roman;serif"/>
          <w:b w:val="false"/>
          <w:color w:val="000000"/>
          <w:sz w:val="20"/>
        </w:rPr>
        <w:t>) applicable to interim financial information and pursuant to the instructions of the Securities and Exchange Commission (</w:t>
      </w:r>
      <w:r>
        <w:rPr>
          <w:rFonts w:ascii="Times New Roman;serif" w:hAnsi="Times New Roman;serif"/>
          <w:b w:val="false"/>
          <w:i/>
          <w:color w:val="000000"/>
          <w:sz w:val="20"/>
        </w:rPr>
        <w:t>SEC</w:t>
      </w:r>
      <w:r>
        <w:rPr>
          <w:rFonts w:ascii="Times New Roman;serif" w:hAnsi="Times New Roman;serif"/>
          <w:b w:val="false"/>
          <w:color w:val="000000"/>
          <w:sz w:val="20"/>
        </w:rPr>
        <w:t>) on Form 10-Q and Rule 10-01 of Regulation S-X. Accordingly, they do not include all of the information and footnotes required by U.S. GAAP for complete financial statements. Further, the results of our operations for any interim periods are not necessarily indicative of the results that may be expected for any other interim period or the full fiscal year. In the opinion of management, all normal and recurring adjustments considered necessary for a fair presentation have been included. The condensed consolidated balance sheet at March 31, 2025, has been derived from our audited consolidated financial statements but does not include all disclosures required by U.S. GAAP. Because all of the disclosures required by U.S. GAAP for complete financial statements are not included herein, these unaudited condensed consolidated financial statements and the accompanying notes should be read in conjunction with the Company’s Annual Report on Form 10-K for the year ended March 31, 2025 (</w:t>
      </w:r>
      <w:r>
        <w:rPr>
          <w:rFonts w:ascii="Times New Roman;serif" w:hAnsi="Times New Roman;serif"/>
          <w:b w:val="false"/>
          <w:i/>
          <w:color w:val="000000"/>
          <w:sz w:val="20"/>
        </w:rPr>
        <w:t>Annual Report</w:t>
      </w:r>
      <w:r>
        <w:rPr>
          <w:rFonts w:ascii="Times New Roman;serif" w:hAnsi="Times New Roman;serif"/>
          <w:b w:val="false"/>
          <w:color w:val="000000"/>
          <w:sz w:val="20"/>
        </w:rPr>
        <w:t>), filed with the SEC on June 17, 2025.</w:t>
      </w:r>
    </w:p>
    <w:p>
      <w:pPr>
        <w:pStyle w:val="TextBody"/>
        <w:bidi w:val="0"/>
        <w:spacing w:lineRule="auto" w:line="288" w:before="0" w:after="0"/>
        <w:jc w:val="both"/>
        <w:rPr/>
      </w:pPr>
      <w:r>
        <w:rPr>
          <w:rFonts w:ascii="Times New Roman;serif" w:hAnsi="Times New Roman;serif"/>
          <w:b w:val="false"/>
          <w:color w:val="000000"/>
          <w:sz w:val="20"/>
        </w:rPr>
        <w:t>Any reference in these notes to applicable guidance is meant to refer to U.S. GAAP as found in the Accounting Standards Codification (</w:t>
      </w:r>
      <w:r>
        <w:rPr>
          <w:rFonts w:ascii="Times New Roman;serif" w:hAnsi="Times New Roman;serif"/>
          <w:b w:val="false"/>
          <w:i/>
          <w:color w:val="000000"/>
          <w:sz w:val="20"/>
        </w:rPr>
        <w:t>ASC</w:t>
      </w:r>
      <w:r>
        <w:rPr>
          <w:rFonts w:ascii="Times New Roman;serif" w:hAnsi="Times New Roman;serif"/>
          <w:b w:val="false"/>
          <w:color w:val="000000"/>
          <w:sz w:val="20"/>
        </w:rPr>
        <w:t>) and Accounting Standards Updates (</w:t>
      </w:r>
      <w:r>
        <w:rPr>
          <w:rFonts w:ascii="Times New Roman;serif" w:hAnsi="Times New Roman;serif"/>
          <w:b w:val="false"/>
          <w:i/>
          <w:color w:val="000000"/>
          <w:sz w:val="20"/>
        </w:rPr>
        <w:t>ASU</w:t>
      </w:r>
      <w:r>
        <w:rPr>
          <w:rFonts w:ascii="Times New Roman;serif" w:hAnsi="Times New Roman;serif"/>
          <w:b w:val="false"/>
          <w:color w:val="000000"/>
          <w:sz w:val="20"/>
        </w:rPr>
        <w:t>) promulgated by the Financial Accounting Standards Board (</w:t>
      </w:r>
      <w:r>
        <w:rPr>
          <w:rFonts w:ascii="Times New Roman;serif" w:hAnsi="Times New Roman;serif"/>
          <w:b w:val="false"/>
          <w:i/>
          <w:color w:val="000000"/>
          <w:sz w:val="20"/>
        </w:rPr>
        <w:t>FASB</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Vistagen and its subsidiaries. All intercompany accounts and transactions have been eliminated in consolidation.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order to complete the development of our neuroscience product candidates and to build the sales, marketing and distribution infrastructure that we believe will be necessary to commercialize our product candidates, if approved, we will require substantial additional capital. Until we can generate a sufficient amount of revenue from the commercialization of our product candidates, we may seek to raise any necessary additional capital through equity and/or debt financings, loans or other capital sources, which could include income from collaborations, partnerships or other marketing, distribution, licensing or other strategic arrangements with third parties. Because of the numerous risks and uncertainties associated with research, development and commercialization of our product candidates, we are unable to estimate the exact amount and timing of our capital requirements. We do not expect to generate any meaningful revenue unless and until we obtain regulatory approval of and commercialize any of our product candidates, and we do not know when, or if, that will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incurred significant losses and negative cash flows from operations since inception. As of September 30, 2025, we had an accumulated deficit of $442.1 million, and cash used in operations for the six months ended September 30, 2025 was $32.6 million. We expect that our operating losses and negative cash flows will continue for the foreseeable future as we continue to develop and, if approved, commercialize our product candidates.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Accounting Standards Codification (ASC) 205-40, Going Concern, we evaluated whether there are conditions and events, considered in the aggregate, that raise substantial doubt about our ability to continue as a going concern within one year from the date that these consolidated financial statements are issued. This evaluation initially does not take into consideration the potential mitigating effect of management’s plans that have not been fully implemented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of the date the consolidated financial statements are issued. When substantial doubt exists under this methodology, management evaluates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 In performing its analysis, management excluded certain elements of its operating plan that cannot be considered probable. Under ASC 205-40, the future receipt of potential funding from future equity and/or debt issuances and other potential sources such as partnerships cannot be considered probable at this time because these plans are not entirely within our control nor have these plans been approved by the Board as of the date of these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cash, cash equivalents, and marketable securities of $77.2 million. As of November 13, 2025, the issuance date of the condensed consolidated financial statements as of and for the three and six months ended September 30, 2025, there is uncertainty about whether our combined cash, cash equivalents, and marketable securities will be sufficient to fund operations beyond twelve months from the issuance date of these condensed consolidated financial statements and therefore we concluded that substantial doubt exists about the our ability to continue as a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When necessary and/or advantageous, we will seek additional capital to fund our planned operations through (i) sales of our equity and/or debt securities in one or more public offerings and/or private placements, including, but not limited to sales of our securities under the Sales Agreement, (ii) non-dilutive government grants and research awards and/or (iii) non-dilutive strategic partnering collaborations to advance development and commercialization of one or more of our product candidates. However, no assurance can be provided that any such sales of our securities, awards, agreements or collaborations will occur in the future. While we may make additional sales of our equity securities, we do not have an obligation to do so.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and/or debt-based capital and potentially from non-dilutive sources other than debt-based capital, and continue to carefully manage our operating costs, including, but not limited to, our clinical, nonclinical, and pre-commercialization programs.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there can be no assurance that future financings will be available to us in sufficient amounts, in a timely manner, or on terms acceptable to us, if at all, or that any current or future development and commercialization collaborations will generate revenue from future potential milestone payments or otherwise.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made in the accompanying condensed consolidated financial statements include, but are not limited to, those relating to stock-based compensation, revenue recognition, research and development expense, determination of right-of-use assets under lease transactions and related lease obligations, and the assumptions used to value common stock purchase warrants. Although these estimates are based on our knowledge of current events, historical experiences, actions we may undertake in the future and on various other assumptions we believe are reasonable, actual results may materially differ from these estimates and assumptions.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measure cash equivalents and available-for-sale debt securities at fair value. Fair value is defined as an exit price, representing the amount that would be received to sell an asset or paid to transfer a liability in an orderly transaction between market participants. A framework is used for measuring fair value utilizing a three-tier hierarchy that prioritizes the inputs to valuation techniques used to measure fair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1—Unadjusted quoted prices in active markets that are accessible at the measurement date for identical, unrestricted assets or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2—Quoted prices for similar assets and liabilities in active markets, quoted prices in markets that are not active, or inputs which are observable, either directly or indirectly, for substantially the full term of the asset or liability.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3—Prices or valuation techniques that require inputs that are both significant to the fair value measurement and unobservable (i.e. supported by little or no market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Money market funds are highly liquid investments and are classified as Level 1. The pricing information for these assets is readily available and can be independently validated as of the measurement date. Available-for-sale debt securities are valued using observable inputs from similar assets, or from observable data in markets that are not active. These assets are classified as Level 2.</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Marketable securities consist of U.S. treasury securities. These securities are classified as available-for-sale,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Our marketable debt securities are classified as cash equivalents if the original maturity, from the date of purchase, is 90 days or less, and as marketable securities if the original maturity, from the date of purchase, is in excess of 90 days. Our cash equivalents are generally composed of U.S. treasury securities and money market funds. The amortized cost of available-for-sale securities reflects amortization of premiums and accretion of discounts to maturity. Premiums and discounts on debt securities are amortized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 of these investments to fund current operations, as necessary.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significant updates not already disclosed in the Company’s audited consolidated financial statements for the years ended March 31, 2025, and 2024 to the recently issued accounting standards, for the six months ended September 30, 2025.</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Issued Accounting Pronouncements Not Yet Adopted</w:t>
      </w:r>
    </w:p>
    <w:p>
      <w:pPr>
        <w:pStyle w:val="TextBody"/>
        <w:bidi w:val="0"/>
        <w:spacing w:lineRule="auto" w:line="288" w:before="200" w:after="283"/>
        <w:jc w:val="both"/>
        <w:rPr/>
      </w:pPr>
      <w:r>
        <w:rPr>
          <w:rFonts w:ascii="Times New Roman;serif" w:hAnsi="Times New Roman;serif"/>
          <w:b w:val="false"/>
          <w:color w:val="000000"/>
          <w:sz w:val="20"/>
        </w:rPr>
        <w:t>In December 2023, the FASB issued ASU No. 2023-09, Income Taxes (</w:t>
      </w:r>
      <w:r>
        <w:rPr>
          <w:rFonts w:ascii="Times New Roman;serif" w:hAnsi="Times New Roman;serif"/>
          <w:b w:val="false"/>
          <w:i/>
          <w:color w:val="000000"/>
          <w:sz w:val="20"/>
        </w:rPr>
        <w:t>Topic 740</w:t>
      </w:r>
      <w:r>
        <w:rPr>
          <w:rFonts w:ascii="Times New Roman;serif" w:hAnsi="Times New Roman;serif"/>
          <w:b w:val="false"/>
          <w:color w:val="000000"/>
          <w:sz w:val="20"/>
        </w:rPr>
        <w:t>):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We are currently evaluating the impact of this guidance on our financial statements.</w:t>
      </w:r>
    </w:p>
    <w:p>
      <w:pPr>
        <w:pStyle w:val="TextBody"/>
        <w:bidi w:val="0"/>
        <w:spacing w:lineRule="auto" w:line="288" w:before="200" w:after="283"/>
        <w:jc w:val="both"/>
        <w:rPr/>
      </w:pPr>
      <w:r>
        <w:rPr>
          <w:rFonts w:ascii="Times New Roman;serif" w:hAnsi="Times New Roman;serif"/>
          <w:b w:val="false"/>
          <w:color w:val="000000"/>
          <w:sz w:val="20"/>
        </w:rPr>
        <w:t>In November 2024, the FASB issued ASU 2024-03, Income Statement—Reporting Comprehensive Income—Expense Disaggregation Disclosures (</w:t>
      </w:r>
      <w:r>
        <w:rPr>
          <w:rFonts w:ascii="Times New Roman;serif" w:hAnsi="Times New Roman;serif"/>
          <w:b w:val="false"/>
          <w:i/>
          <w:color w:val="000000"/>
          <w:sz w:val="20"/>
        </w:rPr>
        <w:t>Subtopic 220-40</w:t>
      </w:r>
      <w:r>
        <w:rPr>
          <w:rFonts w:ascii="Times New Roman;serif" w:hAnsi="Times New Roman;serif"/>
          <w:b w:val="false"/>
          <w:color w:val="000000"/>
          <w:sz w:val="20"/>
        </w:rPr>
        <w:t>): Disaggregation of Income Statement Expenses (</w:t>
      </w:r>
      <w:r>
        <w:rPr>
          <w:rFonts w:ascii="Times New Roman;serif" w:hAnsi="Times New Roman;serif"/>
          <w:b w:val="false"/>
          <w:i/>
          <w:color w:val="000000"/>
          <w:sz w:val="20"/>
        </w:rPr>
        <w:t>ASU 2024-03</w:t>
      </w:r>
      <w:r>
        <w:rPr>
          <w:rFonts w:ascii="Times New Roman;serif" w:hAnsi="Times New Roman;serif"/>
          <w:b w:val="false"/>
          <w:color w:val="000000"/>
          <w:sz w:val="20"/>
        </w:rPr>
        <w:t>), which requires disaggregated disclosure of certain expenses to provide enhanced transparency into the expense captions presented on the face of the income statement. ASU 2024-03 is effective for annual periods beginning after December 15, 2026, and interim periods within annual reporting periods beginning after December 15, 2027, with early adoption permitted. ASU 2024-03 may be adopted on a prospective or retrospective basis. We are currently evaluating the impact of this guidance on our financial statements.</w:t>
      </w:r>
    </w:p>
    <w:p>
      <w:pPr>
        <w:pStyle w:val="TextBody"/>
        <w:bidi w:val="0"/>
        <w:spacing w:lineRule="auto" w:line="288" w:before="200" w:after="283"/>
        <w:jc w:val="both"/>
        <w:rPr/>
      </w:pPr>
      <w:r>
        <w:rPr>
          <w:rFonts w:ascii="Times New Roman;serif" w:hAnsi="Times New Roman;serif"/>
          <w:b w:val="false"/>
          <w:color w:val="000000"/>
          <w:sz w:val="20"/>
        </w:rPr>
        <w:t>In September 2025, the FASB issued ASU 2025-06, Intangibles — Goodwill and Other Internal-Use Software (</w:t>
      </w:r>
      <w:r>
        <w:rPr>
          <w:rFonts w:ascii="Times New Roman;serif" w:hAnsi="Times New Roman;serif"/>
          <w:b w:val="false"/>
          <w:i/>
          <w:color w:val="000000"/>
          <w:sz w:val="20"/>
        </w:rPr>
        <w:t>Subtopic 350-40</w:t>
      </w:r>
      <w:r>
        <w:rPr>
          <w:rFonts w:ascii="Times New Roman;serif" w:hAnsi="Times New Roman;serif"/>
          <w:b w:val="false"/>
          <w:color w:val="000000"/>
          <w:sz w:val="20"/>
        </w:rPr>
        <w:t xml:space="preserve">): Targeted Improvements to the Accounting for Internal-Use Software. This guidance modernizes the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framework for internal-use software by providing clearer criteria for capitalization, including the requirement to assess whether significant development uncertainty exists. ASU 2025-06 is effective for annual reporting periods beginning after December 15, 2027, and interim reporting periods within those annual reporting periods, with early adoption permitted. We are currently evaluating the impact of this guidance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show our cash, cash equivalents and marketable securities at fair value as of September 30, 2025 and March 31, 2025 (in thousands):</w:t>
      </w:r>
    </w:p>
    <w:tbl>
      <w:tblPr>
        <w:tblW w:w="7775" w:type="dxa"/>
        <w:jc w:val="left"/>
        <w:tblInd w:w="0" w:type="dxa"/>
        <w:tblLayout w:type="fixed"/>
        <w:tblCellMar>
          <w:top w:w="28" w:type="dxa"/>
          <w:left w:w="28" w:type="dxa"/>
          <w:bottom w:w="28" w:type="dxa"/>
          <w:right w:w="28" w:type="dxa"/>
        </w:tblCellMar>
      </w:tblPr>
      <w:tblGrid>
        <w:gridCol w:w="927"/>
        <w:gridCol w:w="815"/>
        <w:gridCol w:w="823"/>
        <w:gridCol w:w="109"/>
        <w:gridCol w:w="109"/>
        <w:gridCol w:w="109"/>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75" w:type="dxa"/>
        <w:jc w:val="left"/>
        <w:tblInd w:w="0" w:type="dxa"/>
        <w:tblLayout w:type="fixed"/>
        <w:tblCellMar>
          <w:top w:w="28" w:type="dxa"/>
          <w:left w:w="28" w:type="dxa"/>
          <w:bottom w:w="28" w:type="dxa"/>
          <w:right w:w="28" w:type="dxa"/>
        </w:tblCellMar>
      </w:tblPr>
      <w:tblGrid>
        <w:gridCol w:w="927"/>
        <w:gridCol w:w="815"/>
        <w:gridCol w:w="823"/>
        <w:gridCol w:w="109"/>
        <w:gridCol w:w="109"/>
        <w:gridCol w:w="109"/>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carrying amounts of our prepaid expenses and other current assets, accounts payable, accrued expenses, and the note payable approximate fair value due to their short maturities. We had no financial liabilities measured at fair value on a recurring basis at September 30, 2025 or March 31, 2025. There were no transfers between Levels 1, 2 or 3 for any of the periods presented.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did not record any impairment charges related to our marketable debt securities during the three and six months ended September 30, 2025 or 2024.</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summarizes our marketable securities as of September 30, 2025 and March 31, 2025 (in thousands):</w:t>
      </w:r>
    </w:p>
    <w:p>
      <w:pPr>
        <w:pStyle w:val="TextBody"/>
        <w:bidi w:val="0"/>
        <w:spacing w:before="20" w:after="283"/>
        <w:jc w:val="left"/>
        <w:rPr/>
      </w:pPr>
      <w:r>
        <w:rPr/>
      </w:r>
    </w:p>
    <w:p>
      <w:pPr>
        <w:pStyle w:val="TextBody"/>
        <w:bidi w:val="0"/>
        <w:spacing w:before="20" w:after="283"/>
        <w:jc w:val="left"/>
        <w:rPr/>
      </w:pPr>
      <w:r>
        <w:rPr/>
      </w:r>
    </w:p>
    <w:tbl>
      <w:tblPr>
        <w:tblW w:w="10205" w:type="dxa"/>
        <w:jc w:val="left"/>
        <w:tblInd w:w="0" w:type="dxa"/>
        <w:tblLayout w:type="fixed"/>
        <w:tblCellMar>
          <w:top w:w="28" w:type="dxa"/>
          <w:left w:w="28" w:type="dxa"/>
          <w:bottom w:w="28" w:type="dxa"/>
          <w:right w:w="28" w:type="dxa"/>
        </w:tblCellMar>
      </w:tblPr>
      <w:tblGrid>
        <w:gridCol w:w="571"/>
        <w:gridCol w:w="503"/>
        <w:gridCol w:w="505"/>
        <w:gridCol w:w="555"/>
        <w:gridCol w:w="555"/>
        <w:gridCol w:w="557"/>
        <w:gridCol w:w="109"/>
        <w:gridCol w:w="109"/>
        <w:gridCol w:w="109"/>
        <w:gridCol w:w="285"/>
        <w:gridCol w:w="974"/>
        <w:gridCol w:w="147"/>
        <w:gridCol w:w="109"/>
        <w:gridCol w:w="109"/>
        <w:gridCol w:w="109"/>
        <w:gridCol w:w="478"/>
        <w:gridCol w:w="821"/>
        <w:gridCol w:w="249"/>
        <w:gridCol w:w="109"/>
        <w:gridCol w:w="109"/>
        <w:gridCol w:w="109"/>
        <w:gridCol w:w="466"/>
        <w:gridCol w:w="898"/>
        <w:gridCol w:w="241"/>
        <w:gridCol w:w="109"/>
        <w:gridCol w:w="109"/>
        <w:gridCol w:w="109"/>
        <w:gridCol w:w="211"/>
        <w:gridCol w:w="721"/>
        <w:gridCol w:w="160"/>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before="20" w:after="283"/>
        <w:jc w:val="left"/>
        <w:rPr/>
      </w:pPr>
      <w:r>
        <w:rPr/>
      </w:r>
    </w:p>
    <w:tbl>
      <w:tblPr>
        <w:tblW w:w="10205" w:type="dxa"/>
        <w:jc w:val="left"/>
        <w:tblInd w:w="0" w:type="dxa"/>
        <w:tblLayout w:type="fixed"/>
        <w:tblCellMar>
          <w:top w:w="28" w:type="dxa"/>
          <w:left w:w="28" w:type="dxa"/>
          <w:bottom w:w="28" w:type="dxa"/>
          <w:right w:w="28" w:type="dxa"/>
        </w:tblCellMar>
      </w:tblPr>
      <w:tblGrid>
        <w:gridCol w:w="571"/>
        <w:gridCol w:w="503"/>
        <w:gridCol w:w="505"/>
        <w:gridCol w:w="555"/>
        <w:gridCol w:w="555"/>
        <w:gridCol w:w="557"/>
        <w:gridCol w:w="109"/>
        <w:gridCol w:w="109"/>
        <w:gridCol w:w="109"/>
        <w:gridCol w:w="285"/>
        <w:gridCol w:w="974"/>
        <w:gridCol w:w="147"/>
        <w:gridCol w:w="109"/>
        <w:gridCol w:w="109"/>
        <w:gridCol w:w="109"/>
        <w:gridCol w:w="566"/>
        <w:gridCol w:w="687"/>
        <w:gridCol w:w="294"/>
        <w:gridCol w:w="109"/>
        <w:gridCol w:w="109"/>
        <w:gridCol w:w="109"/>
        <w:gridCol w:w="466"/>
        <w:gridCol w:w="898"/>
        <w:gridCol w:w="241"/>
        <w:gridCol w:w="109"/>
        <w:gridCol w:w="109"/>
        <w:gridCol w:w="109"/>
        <w:gridCol w:w="211"/>
        <w:gridCol w:w="721"/>
        <w:gridCol w:w="161"/>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4. Notes Payable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May 2025, we executed a 6.54% promissory note in the principal amount of $1.0 million in connection with certain insurance policy premiums. The note is payable in monthly installments of approximately $0.1 million, including principal and interest, through April 2026. As of September 30, 2025, the outstanding balance related to the premium financing was $0.7 million. Interest accrued related to the premium financing arrangement was immaterial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Capital Stock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October 2023 Public Offering</w:t>
      </w:r>
    </w:p>
    <w:p>
      <w:pPr>
        <w:pStyle w:val="TextBody"/>
        <w:bidi w:val="0"/>
        <w:spacing w:lineRule="auto" w:line="288" w:before="200" w:after="283"/>
        <w:jc w:val="both"/>
        <w:rPr/>
      </w:pPr>
      <w:r>
        <w:rPr>
          <w:rFonts w:ascii="Times New Roman;serif" w:hAnsi="Times New Roman;serif"/>
          <w:b w:val="false"/>
          <w:color w:val="000000"/>
          <w:sz w:val="20"/>
        </w:rPr>
        <w:t>On October 2, 2023</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completed an underwritten public offering (the </w:t>
      </w:r>
      <w:r>
        <w:rPr>
          <w:rFonts w:ascii="Times New Roman;serif" w:hAnsi="Times New Roman;serif"/>
          <w:b w:val="false"/>
          <w:i/>
          <w:color w:val="000000"/>
          <w:sz w:val="20"/>
        </w:rPr>
        <w:t>October 2023</w:t>
      </w:r>
      <w:r>
        <w:rPr>
          <w:color w:val="000000"/>
        </w:rPr>
        <w:t xml:space="preserve"> </w:t>
      </w:r>
      <w:r>
        <w:rPr>
          <w:rFonts w:ascii="Times New Roman;serif" w:hAnsi="Times New Roman;serif"/>
          <w:b w:val="false"/>
          <w:i/>
          <w:color w:val="000000"/>
          <w:sz w:val="20"/>
        </w:rPr>
        <w:t>Public</w:t>
      </w:r>
      <w:r>
        <w:rPr>
          <w:color w:val="000000"/>
        </w:rPr>
        <w:t xml:space="preserve"> </w:t>
      </w:r>
      <w:r>
        <w:rPr>
          <w:rFonts w:ascii="Times New Roman;serif" w:hAnsi="Times New Roman;serif"/>
          <w:b w:val="false"/>
          <w:i/>
          <w:color w:val="000000"/>
          <w:sz w:val="20"/>
        </w:rPr>
        <w:t>Offering</w:t>
      </w:r>
      <w:r>
        <w:rPr>
          <w:rFonts w:ascii="Times New Roman;serif" w:hAnsi="Times New Roman;serif"/>
          <w:b w:val="false"/>
          <w:color w:val="000000"/>
          <w:sz w:val="20"/>
        </w:rPr>
        <w:t xml:space="preserve">), whereby we offered and sold, for gross proceeds of approximately $100 million, a total of 15,010,810 shares of our common stock and a total of 3,577,240 pre-funded warrants to purchase up to 3,577,240 shares of common stock (the </w:t>
      </w:r>
      <w:r>
        <w:rPr>
          <w:rFonts w:ascii="Times New Roman;serif" w:hAnsi="Times New Roman;serif"/>
          <w:b w:val="false"/>
          <w:i/>
          <w:color w:val="000000"/>
          <w:sz w:val="20"/>
        </w:rPr>
        <w:t>Pre-Funded Warrants</w:t>
      </w:r>
      <w:r>
        <w:rPr>
          <w:rFonts w:ascii="Times New Roman;serif" w:hAnsi="Times New Roman;serif"/>
          <w:b w:val="false"/>
          <w:color w:val="000000"/>
          <w:sz w:val="20"/>
        </w:rPr>
        <w:t xml:space="preserve">). Each share of common stock and each Pre-Funded Warrant was issued together with a ratably allocated portion of warrants to purchase up to 9,294,022 shares of common stock with an exercise price of $5.38 per share (the </w:t>
      </w:r>
      <w:r>
        <w:rPr>
          <w:rFonts w:ascii="Times New Roman;serif" w:hAnsi="Times New Roman;serif"/>
          <w:b w:val="false"/>
          <w:i/>
          <w:color w:val="000000"/>
          <w:sz w:val="20"/>
        </w:rPr>
        <w:t>T1</w:t>
      </w:r>
      <w:r>
        <w:rPr>
          <w:color w:val="000000"/>
        </w:rPr>
        <w:t xml:space="preserve"> </w:t>
      </w:r>
      <w:r>
        <w:rPr>
          <w:rFonts w:ascii="Times New Roman;serif" w:hAnsi="Times New Roman;serif"/>
          <w:b w:val="false"/>
          <w:i/>
          <w:color w:val="000000"/>
          <w:sz w:val="20"/>
        </w:rPr>
        <w:t>Warrants</w:t>
      </w:r>
      <w:r>
        <w:rPr>
          <w:rFonts w:ascii="Times New Roman;serif" w:hAnsi="Times New Roman;serif"/>
          <w:b w:val="false"/>
          <w:color w:val="000000"/>
          <w:sz w:val="20"/>
        </w:rPr>
        <w:t xml:space="preserve">) and warrants to purchase 11,265,086 shares of common stock with an exercise price of $8.877 per share (the </w:t>
      </w:r>
      <w:r>
        <w:rPr>
          <w:rFonts w:ascii="Times New Roman;serif" w:hAnsi="Times New Roman;serif"/>
          <w:b w:val="false"/>
          <w:i/>
          <w:color w:val="000000"/>
          <w:sz w:val="20"/>
        </w:rPr>
        <w:t>T2</w:t>
      </w:r>
      <w:r>
        <w:rPr>
          <w:color w:val="000000"/>
        </w:rPr>
        <w:t xml:space="preserve"> </w:t>
      </w:r>
      <w:r>
        <w:rPr>
          <w:rFonts w:ascii="Times New Roman;serif" w:hAnsi="Times New Roman;serif"/>
          <w:b w:val="false"/>
          <w:i/>
          <w:color w:val="000000"/>
          <w:sz w:val="20"/>
        </w:rPr>
        <w:t>Warrants</w:t>
      </w:r>
      <w:r>
        <w:rPr>
          <w:rFonts w:ascii="Times New Roman;serif" w:hAnsi="Times New Roman;serif"/>
          <w:b w:val="false"/>
          <w:color w:val="000000"/>
          <w:sz w:val="20"/>
        </w:rPr>
        <w:t>). The net proceeds to us from the October 2023 Public Offering were approximately $93.5 million, after deducting related expenses, including commissions, legal expenses and other offering costs.</w:t>
      </w:r>
    </w:p>
    <w:p>
      <w:pPr>
        <w:pStyle w:val="TextBody"/>
        <w:bidi w:val="0"/>
        <w:spacing w:lineRule="auto" w:line="288" w:before="200" w:after="283"/>
        <w:jc w:val="both"/>
        <w:rPr/>
      </w:pPr>
      <w:r>
        <w:rPr>
          <w:rFonts w:ascii="Times New Roman;serif" w:hAnsi="Times New Roman;serif"/>
          <w:b w:val="false"/>
          <w:color w:val="000000"/>
          <w:sz w:val="20"/>
        </w:rPr>
        <w:t xml:space="preserve">The Pre-Funded Warrants, T1 Warrants and T2 Warrants (collectively, the </w:t>
      </w:r>
      <w:r>
        <w:rPr>
          <w:rFonts w:ascii="Times New Roman;serif" w:hAnsi="Times New Roman;serif"/>
          <w:b w:val="false"/>
          <w:i/>
          <w:color w:val="000000"/>
          <w:sz w:val="20"/>
        </w:rPr>
        <w:t>Warrants</w:t>
      </w:r>
      <w:r>
        <w:rPr>
          <w:rFonts w:ascii="Times New Roman;serif" w:hAnsi="Times New Roman;serif"/>
          <w:b w:val="false"/>
          <w:color w:val="000000"/>
          <w:sz w:val="20"/>
        </w:rPr>
        <w:t>) are fully exercisable, only at the option of the holder. Holders may also exercise the T1 Warrants and T2 Warrants for Pre-Funded Warrants at their option. We may not effect the exercise of any Warrants, and a holder will not be entitled to exercise any portion of any of the Warrants, which, upon giving effect to such exercise, would cause the aggregate number of shares of common stock beneficially owned by the holder of such Warrant (together with its affiliates) to exceed 9.99% of the number of shares of common stock outstanding immediately after giving effect to the exercise. However, any holder may increase or decrease such percentage to any other percentage (not to exceed 19.99% if exceeding such percentage would result in a change of control under Nasdaq Listing Rule 5636(b) or any successor rule) upon at least 61 days’ prior notice from the holder to us subject to the terms of the respective Warrant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evaluated the terms of the Warrants issued and determined that they should be classified as equity instruments within additional paid-in capital. The Warrants are equity classified because they (i) are freestanding financial instruments that are legally detachable and separately exercisable from the other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Warrants do not provide any guarantee of value or return.</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Open Market Sale Agreement</w:t>
      </w:r>
    </w:p>
    <w:p>
      <w:pPr>
        <w:pStyle w:val="TextBody"/>
        <w:bidi w:val="0"/>
        <w:spacing w:lineRule="auto" w:line="288" w:before="0" w:after="0"/>
        <w:jc w:val="both"/>
        <w:rPr/>
      </w:pPr>
      <w:r>
        <w:rPr>
          <w:rFonts w:ascii="Times New Roman;serif" w:hAnsi="Times New Roman;serif"/>
          <w:b w:val="false"/>
          <w:color w:val="000000"/>
          <w:sz w:val="20"/>
        </w:rPr>
        <w:t xml:space="preserve">In May 2021, we entered into an Open Market Sale Agreement (the </w:t>
      </w:r>
      <w:r>
        <w:rPr>
          <w:rFonts w:ascii="Times New Roman;serif" w:hAnsi="Times New Roman;serif"/>
          <w:b w:val="false"/>
          <w:i/>
          <w:color w:val="000000"/>
          <w:sz w:val="20"/>
        </w:rPr>
        <w:t>Sales Agreement</w:t>
      </w:r>
      <w:r>
        <w:rPr>
          <w:rFonts w:ascii="Times New Roman;serif" w:hAnsi="Times New Roman;serif"/>
          <w:b w:val="false"/>
          <w:color w:val="000000"/>
          <w:sz w:val="20"/>
        </w:rPr>
        <w:t>) with Jefferies LLC (</w:t>
      </w:r>
      <w:r>
        <w:rPr>
          <w:rFonts w:ascii="Times New Roman;serif" w:hAnsi="Times New Roman;serif"/>
          <w:b w:val="false"/>
          <w:i/>
          <w:color w:val="000000"/>
          <w:sz w:val="20"/>
        </w:rPr>
        <w:t>Jefferies</w:t>
      </w:r>
      <w:r>
        <w:rPr>
          <w:rFonts w:ascii="Times New Roman;serif" w:hAnsi="Times New Roman;serif"/>
          <w:b w:val="false"/>
          <w:color w:val="000000"/>
          <w:sz w:val="20"/>
        </w:rPr>
        <w:t>) as sales agent, with respect to an at-the-market offering program under which we were permitted, at our option, to offer and sell, from time to time, shares of our common stock having an aggregate offering price of up to $75.0 million. In February 2024, the aggregate offering price available under the Sales Agreement was increased to up to $100 million, and in June 2025, the aggregate offering price available under the Sales Agreement was increased to up to $175 million. As of September 30, 2025, approximately $142.7 million of aggregate offering price for shares of our common stock remained available for offer and sale under the Sales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sold no shares under the Sales Agreement during the three and six months ended September 30, 2024. During the three and six months ended September 30, 2025, we sold 9,608,772 and 9,798,839 shares of our common stock in at-the-market transactions under the Sales Agreement, resulting in net cash proceeds of approximately $27.9 million and $28.3 million after sales agent commissions, respectively. We pay Jefferies a commission of up to three percent (3.0%) of the aggregate gross proceeds from any sales under the Sales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the following common stock warrants were outstanding:</w:t>
      </w:r>
    </w:p>
    <w:tbl>
      <w:tblPr>
        <w:tblW w:w="5529" w:type="dxa"/>
        <w:jc w:val="left"/>
        <w:tblInd w:w="0" w:type="dxa"/>
        <w:tblLayout w:type="fixed"/>
        <w:tblCellMar>
          <w:top w:w="28" w:type="dxa"/>
          <w:left w:w="28" w:type="dxa"/>
          <w:bottom w:w="28" w:type="dxa"/>
          <w:right w:w="28" w:type="dxa"/>
        </w:tblCellMar>
      </w:tblPr>
      <w:tblGrid>
        <w:gridCol w:w="890"/>
        <w:gridCol w:w="783"/>
        <w:gridCol w:w="787"/>
        <w:gridCol w:w="109"/>
        <w:gridCol w:w="109"/>
        <w:gridCol w:w="109"/>
        <w:gridCol w:w="444"/>
        <w:gridCol w:w="444"/>
        <w:gridCol w:w="446"/>
        <w:gridCol w:w="109"/>
        <w:gridCol w:w="109"/>
        <w:gridCol w:w="109"/>
        <w:gridCol w:w="316"/>
        <w:gridCol w:w="316"/>
        <w:gridCol w:w="449"/>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Number of Common Shares</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Underlying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Exercise Price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Expiration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2,788,620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9,294,022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11,265,086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10/4/2028</w:t>
            </w:r>
          </w:p>
        </w:tc>
      </w:tr>
    </w:tbl>
    <w:p>
      <w:pPr>
        <w:pStyle w:val="TextBody"/>
        <w:bidi w:val="0"/>
        <w:spacing w:lineRule="auto" w:line="288" w:before="2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warrants will expire 60 days after the later of (i) the date on which the Company first publicly discloses, whether by press release or Current Report on Form 8-K, the top-line results of its PALISADE-3 Phase 3 clinical trial and (ii) the date on which the Company first publicly discloses, whether by press release or Current Report on Form 8-K, the top-line results of its PALISADE-4 Phase 3 clinical trial.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exercise price of all outstanding warrants at September 30, 2025 is $6.42 per share. No outstanding warrant is subject to any down-round anti-dilution protection feature. All outstanding warrants are exercisable by the holders only by payment in cash of the stated exercise price per share, except the Pre-Funded Warrants and the T2 Warrants issued in connection with the October 2023 Public Offering, which may be exercised through a cashless exercise, via exchange of a portion of warrants to cover the exercise price. In October 2024, Pre-Funded Warrants to purchase 788,620 shares of common stock were exercised on a cashless basis, resulting in the issuance of 788,359 shares of common stock. In December 2024, 33,334 warrants to purchase common stock, with an exercise price of $15.00 per share, expired. In July 2025, 12,352 warrants to purchase common stock with an exercise price of $21.90 per share,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A summary of our stock option activity for the period ended September 30, 2025 is as follows (in thousands, except share and per share data and years):</w:t>
      </w:r>
    </w:p>
    <w:tbl>
      <w:tblPr>
        <w:tblW w:w="10205" w:type="dxa"/>
        <w:jc w:val="left"/>
        <w:tblInd w:w="0" w:type="dxa"/>
        <w:tblLayout w:type="fixed"/>
        <w:tblCellMar>
          <w:top w:w="28" w:type="dxa"/>
          <w:left w:w="28" w:type="dxa"/>
          <w:bottom w:w="28" w:type="dxa"/>
          <w:right w:w="28" w:type="dxa"/>
        </w:tblCellMar>
      </w:tblPr>
      <w:tblGrid>
        <w:gridCol w:w="724"/>
        <w:gridCol w:w="635"/>
        <w:gridCol w:w="638"/>
        <w:gridCol w:w="109"/>
        <w:gridCol w:w="109"/>
        <w:gridCol w:w="109"/>
        <w:gridCol w:w="488"/>
        <w:gridCol w:w="488"/>
        <w:gridCol w:w="313"/>
        <w:gridCol w:w="109"/>
        <w:gridCol w:w="109"/>
        <w:gridCol w:w="109"/>
        <w:gridCol w:w="343"/>
        <w:gridCol w:w="1174"/>
        <w:gridCol w:w="179"/>
        <w:gridCol w:w="109"/>
        <w:gridCol w:w="109"/>
        <w:gridCol w:w="109"/>
        <w:gridCol w:w="845"/>
        <w:gridCol w:w="845"/>
        <w:gridCol w:w="846"/>
        <w:gridCol w:w="109"/>
        <w:gridCol w:w="109"/>
        <w:gridCol w:w="109"/>
        <w:gridCol w:w="294"/>
        <w:gridCol w:w="863"/>
        <w:gridCol w:w="222"/>
      </w:tblGrid>
      <w:tr>
        <w:trPr/>
        <w:tc>
          <w:tcPr>
            <w:tcW w:w="7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4,875,866 </w:t>
            </w:r>
          </w:p>
        </w:tc>
        <w:tc>
          <w:tcPr>
            <w:tcW w:w="3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left"/>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stock options granted was estimated using the following assumptions:</w:t>
      </w:r>
    </w:p>
    <w:tbl>
      <w:tblPr>
        <w:tblW w:w="7582" w:type="dxa"/>
        <w:jc w:val="center"/>
        <w:tblInd w:w="0" w:type="dxa"/>
        <w:tblLayout w:type="fixed"/>
        <w:tblCellMar>
          <w:top w:w="28" w:type="dxa"/>
          <w:left w:w="28" w:type="dxa"/>
          <w:bottom w:w="28" w:type="dxa"/>
          <w:right w:w="28" w:type="dxa"/>
        </w:tblCellMar>
      </w:tblPr>
      <w:tblGrid>
        <w:gridCol w:w="990"/>
        <w:gridCol w:w="866"/>
        <w:gridCol w:w="873"/>
        <w:gridCol w:w="109"/>
        <w:gridCol w:w="109"/>
        <w:gridCol w:w="109"/>
        <w:gridCol w:w="610"/>
        <w:gridCol w:w="610"/>
        <w:gridCol w:w="610"/>
        <w:gridCol w:w="309"/>
        <w:gridCol w:w="309"/>
        <w:gridCol w:w="309"/>
        <w:gridCol w:w="510"/>
        <w:gridCol w:w="510"/>
        <w:gridCol w:w="749"/>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Risk-free interest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3.64% - 4.19%</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3.48% - 4.43%</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Expected term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5.27 - 6.08</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5.07 - 6.14 </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Expected stock price volatility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 xml:space="preserve">155.06% - 164.30%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163.35% - 176.22%</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Dividend yield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for all equity awards has been included in the consolidated statements of operations and comprehensive loss as follows (in thousands):</w:t>
      </w:r>
    </w:p>
    <w:tbl>
      <w:tblPr>
        <w:tblW w:w="9816" w:type="dxa"/>
        <w:jc w:val="center"/>
        <w:tblInd w:w="0" w:type="dxa"/>
        <w:tblLayout w:type="fixed"/>
        <w:tblCellMar>
          <w:top w:w="28" w:type="dxa"/>
          <w:left w:w="28" w:type="dxa"/>
          <w:bottom w:w="28" w:type="dxa"/>
          <w:right w:w="28" w:type="dxa"/>
        </w:tblCellMar>
      </w:tblPr>
      <w:tblGrid>
        <w:gridCol w:w="1251"/>
        <w:gridCol w:w="1096"/>
        <w:gridCol w:w="1102"/>
        <w:gridCol w:w="299"/>
        <w:gridCol w:w="874"/>
        <w:gridCol w:w="154"/>
        <w:gridCol w:w="154"/>
        <w:gridCol w:w="154"/>
        <w:gridCol w:w="154"/>
        <w:gridCol w:w="299"/>
        <w:gridCol w:w="874"/>
        <w:gridCol w:w="154"/>
        <w:gridCol w:w="109"/>
        <w:gridCol w:w="109"/>
        <w:gridCol w:w="109"/>
        <w:gridCol w:w="275"/>
        <w:gridCol w:w="803"/>
        <w:gridCol w:w="142"/>
        <w:gridCol w:w="142"/>
        <w:gridCol w:w="142"/>
        <w:gridCol w:w="142"/>
        <w:gridCol w:w="275"/>
        <w:gridCol w:w="803"/>
        <w:gridCol w:w="200"/>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options granted during the six months ended September 30, 2025 and 2024 was $1.98 and $3.51 per share, respectively. The intrinsic value of options exercised during the six months ended September 30, 2025 was immaterial. No options were exercised during the six months ended September 30, 2024. As of September 30, 2025, total compensation cost not yet recognized related to unvested stock options was $7.7 million, which is expected to be recognized over a weighted-average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7. Net Loss per Common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net loss per common share is calculated by dividing the net loss by the weighted average number of shares of common stock outstanding for the period, without consideration for common stock equivalents. The Pre-Funded Warrants associated with the October 2023 Public Offering (see Note 5 above) are considered outstanding shares in the basic earnings per share calculation given their nominal exercise price. Dilutive common stock equivalents for the periods presented include warrants for the purchase of common stock and common stock options outstanding under the Company’s equity compensation plans. For all periods presented, there is no difference in the number of shares used to calculate basic and diluted shares outstanding due to the Company’s net loss position.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potentially dilutive securities that have been excluded from the calculation of diluted net loss per share because their inclusion would be anti-dilutive:</w:t>
      </w:r>
    </w:p>
    <w:tbl>
      <w:tblPr>
        <w:tblW w:w="10205" w:type="dxa"/>
        <w:jc w:val="center"/>
        <w:tblInd w:w="0" w:type="dxa"/>
        <w:tblLayout w:type="fixed"/>
        <w:tblCellMar>
          <w:top w:w="28" w:type="dxa"/>
          <w:left w:w="28" w:type="dxa"/>
          <w:bottom w:w="28" w:type="dxa"/>
          <w:right w:w="28" w:type="dxa"/>
        </w:tblCellMar>
      </w:tblPr>
      <w:tblGrid>
        <w:gridCol w:w="2770"/>
        <w:gridCol w:w="2430"/>
        <w:gridCol w:w="2444"/>
        <w:gridCol w:w="376"/>
        <w:gridCol w:w="376"/>
        <w:gridCol w:w="284"/>
        <w:gridCol w:w="147"/>
        <w:gridCol w:w="147"/>
        <w:gridCol w:w="147"/>
        <w:gridCol w:w="361"/>
        <w:gridCol w:w="361"/>
        <w:gridCol w:w="362"/>
      </w:tblGrid>
      <w:tr>
        <w:trPr/>
        <w:tc>
          <w:tcPr>
            <w:tcW w:w="277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September 30,</w:t>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options under the Company's Amended and Restated 2016 (formerly 2008) Stock Incentive Plan and Amended and Restated 2019 Omnibus Equity Incentive Plan, as amended</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4,875,866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3,112,315</w:t>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warrants to purchase common stock</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20,559,108</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20,604,794</w:t>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25,434,974</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23,717,109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Sublicensing and Collaborative Agreements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changes in contract assets and liabilities during the six months ended September 30, 2025. Contract acquisition costs are included as a component of other assets on our condensed consolidated balance sheets. </w:t>
      </w:r>
    </w:p>
    <w:tbl>
      <w:tblPr>
        <w:tblW w:w="9111" w:type="dxa"/>
        <w:jc w:val="left"/>
        <w:tblInd w:w="0" w:type="dxa"/>
        <w:tblLayout w:type="fixed"/>
        <w:tblCellMar>
          <w:top w:w="28" w:type="dxa"/>
          <w:left w:w="28" w:type="dxa"/>
          <w:bottom w:w="28" w:type="dxa"/>
          <w:right w:w="28" w:type="dxa"/>
        </w:tblCellMar>
      </w:tblPr>
      <w:tblGrid>
        <w:gridCol w:w="1059"/>
        <w:gridCol w:w="931"/>
        <w:gridCol w:w="935"/>
        <w:gridCol w:w="324"/>
        <w:gridCol w:w="948"/>
        <w:gridCol w:w="167"/>
        <w:gridCol w:w="109"/>
        <w:gridCol w:w="109"/>
        <w:gridCol w:w="109"/>
        <w:gridCol w:w="266"/>
        <w:gridCol w:w="512"/>
        <w:gridCol w:w="138"/>
        <w:gridCol w:w="109"/>
        <w:gridCol w:w="109"/>
        <w:gridCol w:w="109"/>
        <w:gridCol w:w="272"/>
        <w:gridCol w:w="622"/>
        <w:gridCol w:w="142"/>
        <w:gridCol w:w="109"/>
        <w:gridCol w:w="109"/>
        <w:gridCol w:w="109"/>
        <w:gridCol w:w="390"/>
        <w:gridCol w:w="1138"/>
        <w:gridCol w:w="28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w:t>
              <w:br/>
              <w:t>September 30, 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AffaMed Agreement</w:t>
      </w:r>
    </w:p>
    <w:p>
      <w:pPr>
        <w:pStyle w:val="TextBody"/>
        <w:bidi w:val="0"/>
        <w:spacing w:lineRule="auto" w:line="288" w:before="200" w:after="283"/>
        <w:jc w:val="both"/>
        <w:rPr/>
      </w:pPr>
      <w:r>
        <w:rPr>
          <w:rFonts w:ascii="Times New Roman;serif" w:hAnsi="Times New Roman;serif"/>
          <w:b w:val="false"/>
          <w:color w:val="000000"/>
          <w:sz w:val="20"/>
        </w:rPr>
        <w:t xml:space="preserve">In June 2020, we entered into a license and collaboration agreement (the </w:t>
      </w:r>
      <w:r>
        <w:rPr>
          <w:rFonts w:ascii="Times New Roman;serif" w:hAnsi="Times New Roman;serif"/>
          <w:b w:val="false"/>
          <w:i/>
          <w:color w:val="000000"/>
          <w:sz w:val="20"/>
        </w:rPr>
        <w:t>AffaMed Agreement</w:t>
      </w:r>
      <w:r>
        <w:rPr>
          <w:rFonts w:ascii="Times New Roman;serif" w:hAnsi="Times New Roman;serif"/>
          <w:b w:val="false"/>
          <w:color w:val="000000"/>
          <w:sz w:val="20"/>
        </w:rPr>
        <w:t>) with EverInsight Therapeutics Inc., a company incorporated under the laws of the British Virgin Islands, now AffaMed Therapeutics, Inc. (</w:t>
      </w:r>
      <w:r>
        <w:rPr>
          <w:rFonts w:ascii="Times New Roman;serif" w:hAnsi="Times New Roman;serif"/>
          <w:b w:val="false"/>
          <w:i/>
          <w:color w:val="000000"/>
          <w:sz w:val="20"/>
        </w:rPr>
        <w:t>AffaMed</w:t>
      </w:r>
      <w:r>
        <w:rPr>
          <w:rFonts w:ascii="Times New Roman;serif" w:hAnsi="Times New Roman;serif"/>
          <w:b w:val="false"/>
          <w:color w:val="000000"/>
          <w:sz w:val="20"/>
        </w:rPr>
        <w:t>), pursuant to which we granted AffaMed an exclusive license to develop and commercialize fasedienol for social anxiety disorder (</w:t>
      </w:r>
      <w:r>
        <w:rPr>
          <w:rFonts w:ascii="Times New Roman;serif" w:hAnsi="Times New Roman;serif"/>
          <w:b w:val="false"/>
          <w:i/>
          <w:color w:val="000000"/>
          <w:sz w:val="20"/>
        </w:rPr>
        <w:t>SAD</w:t>
      </w:r>
      <w:r>
        <w:rPr>
          <w:rFonts w:ascii="Times New Roman;serif" w:hAnsi="Times New Roman;serif"/>
          <w:b w:val="false"/>
          <w:color w:val="000000"/>
          <w:sz w:val="20"/>
        </w:rPr>
        <w:t xml:space="preserve">) and potentially other anxiety-related disorders in Greater China, South Korea and Southeast Asia (which includes Indonesia, Malaysia, Philippines, Thailand and Vietnam) (collectively, </w:t>
      </w:r>
      <w:r>
        <w:rPr>
          <w:rFonts w:ascii="Times New Roman;serif" w:hAnsi="Times New Roman;serif"/>
          <w:b w:val="false"/>
          <w:i/>
          <w:color w:val="000000"/>
          <w:sz w:val="20"/>
        </w:rPr>
        <w:t>the Territory</w:t>
      </w:r>
      <w:r>
        <w:rPr>
          <w:rFonts w:ascii="Times New Roman;serif" w:hAnsi="Times New Roman;serif"/>
          <w:b w:val="false"/>
          <w:color w:val="000000"/>
          <w:sz w:val="20"/>
        </w:rPr>
        <w:t xml:space="preserve">). We retain exclusive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commercialization rights for fasedienol in the U.S. and throughout the rest of the world outside the Territory.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responsible for pursuing clinical development and regulatory submissions of fasedienol for acute treatment of anxiety in adults with SAD, and potentially other anxiety-related indications, in the United States on a ‘‘best efforts’’ basis, with no guarantee of success. If conducted, AffaMed may participate in a Phase 3 global clinical trial of fasedienol and would assume all direct costs and expenses of conducting such clinical trial in the Territory and a portion of the indirect costs of a global trial in which they participate. We will transfer all development data (nonclinical and clinical data) and our regulatory documentation related to fasedienol throughout the term as it is developed or generated or otherwise comes into our control. We will grant to AffaMed a Right of Reference to our regulatory documentation and our development data, but retain exclusive development and commercialization rights for fasedienol in the U.S. and throughout the rest of the world outside the Territory.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AffaMed Agreement, AffaMed paid to us a non-refundable upfront license payment of $5.0 million in August 2020. Additionally, upon successful development and commercialization of fasedienol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there is no market exclusivity in the period. Royalty payments may also be reduced if there is a generic competitive product in the Territory in the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determined that we have one combined performance obligation for the license to develop and commercialize fasedienol in the Territory and related development and regulatory services. In addition, AffaMed has an option that, if exercised by AffaMed, could create manufacturing obligations for us during development upon exercise. This option for manufacturing services was evaluated and determined not to include a material right.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a royalty constraint.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 as the combined performance obligation is satisfied over time using an input method. Significant management judgment is required to determine the level of effort attributable to the performance obligation included in the AffaMed Agreement and the period over which we expect to complete our performance obligation. The performance period or measure of progress was estimated at the inception of the AffaMed Agreement and is re-evaluated in subsequent reporting periods. This re-evaluation may shorten or lengthen the period over which we recognize revenue.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March 31, 2025, we had short-term deferred revenue of $0.9 million and $1.3 million, respectively, and long-term deferred revenue of $0.3 million and $0.4 million, respectively, related to the AffaMed Agreement. During the three and six months ended September 30, 2025, we recognized revenue of $0.3 million and $0.5 million, respectively, as compared to $0.2 million and $0.3 million during the three and six months ended September 30, 2024, respectively, under the AffaMed Agreement, which was included in the deferred revenue balance at the beginning of each period. The remaining deferred revenue under the AffaMed Agreement will be recognized over the expected remaining contractual term.</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Fuji Pharma Agreement</w:t>
      </w:r>
    </w:p>
    <w:p>
      <w:pPr>
        <w:pStyle w:val="TextBody"/>
        <w:bidi w:val="0"/>
        <w:spacing w:lineRule="auto" w:line="288" w:before="0" w:after="0"/>
        <w:jc w:val="both"/>
        <w:rPr/>
      </w:pPr>
      <w:r>
        <w:rPr>
          <w:rFonts w:ascii="Times New Roman;serif" w:hAnsi="Times New Roman;serif"/>
          <w:b w:val="false"/>
          <w:color w:val="000000"/>
          <w:sz w:val="20"/>
        </w:rPr>
        <w:t xml:space="preserve">On September 1, 2023, we entered into an Exclusive Negotiation Agreement (the </w:t>
      </w:r>
      <w:r>
        <w:rPr>
          <w:rFonts w:ascii="Times New Roman;serif" w:hAnsi="Times New Roman;serif"/>
          <w:b w:val="false"/>
          <w:i/>
          <w:color w:val="000000"/>
          <w:sz w:val="20"/>
        </w:rPr>
        <w:t>Negotiation Agreement</w:t>
      </w:r>
      <w:r>
        <w:rPr>
          <w:rFonts w:ascii="Times New Roman;serif" w:hAnsi="Times New Roman;serif"/>
          <w:b w:val="false"/>
          <w:color w:val="000000"/>
          <w:sz w:val="20"/>
        </w:rPr>
        <w:t>) with Fuji Pharma Co., Ltd. (</w:t>
      </w:r>
      <w:r>
        <w:rPr>
          <w:rFonts w:ascii="Times New Roman;serif" w:hAnsi="Times New Roman;serif"/>
          <w:b w:val="false"/>
          <w:i/>
          <w:color w:val="000000"/>
          <w:sz w:val="20"/>
        </w:rPr>
        <w:t>Fuji Pharma</w:t>
      </w:r>
      <w:r>
        <w:rPr>
          <w:rFonts w:ascii="Times New Roman;serif" w:hAnsi="Times New Roman;serif"/>
          <w:b w:val="false"/>
          <w:color w:val="000000"/>
          <w:sz w:val="20"/>
        </w:rPr>
        <w:t>), a Tokyo Stock Exchange-listed, Japan-based pharmaceutical company with a significant research, development, and commercial focus on pharmacological therapies for women’s health conditions. Pursuant to the terms and conditions of the Negotiation Agreement, we agreed, for a limited period of time, to negotiate exclusively with Fuji Pharma for a potential exclusive license agreement to develop and commercialize PH80 in Japan. PH80, our clinical-stage pherine product candidate focused on women's health conditions, primarily the treatment of vasomotor symptoms (hot flashes) associated with menopause (the</w:t>
      </w:r>
      <w:r>
        <w:rPr>
          <w:color w:val="000000"/>
        </w:rPr>
        <w:t xml:space="preserve"> </w:t>
      </w:r>
      <w:r>
        <w:rPr>
          <w:rFonts w:ascii="Times New Roman;serif" w:hAnsi="Times New Roman;serif"/>
          <w:b w:val="false"/>
          <w:i/>
          <w:color w:val="000000"/>
          <w:sz w:val="20"/>
        </w:rPr>
        <w:t>Potential Definitive Agreement</w:t>
      </w:r>
      <w:r>
        <w:rPr>
          <w:rFonts w:ascii="Times New Roman;serif" w:hAnsi="Times New Roman;serif"/>
          <w:b w:val="false"/>
          <w:color w:val="000000"/>
          <w:sz w:val="20"/>
        </w:rPr>
        <w:t xml:space="preserve">). The Negotiation Agreement provides for an exclusive negotiation period beginning on the date of formal written notice being received by Fuji Pharma that we have selected a contract development and manufacturing organization to conduct preclinical toxicology studies for PH80 (the </w:t>
      </w:r>
      <w:r>
        <w:rPr>
          <w:rFonts w:ascii="Times New Roman;serif" w:hAnsi="Times New Roman;serif"/>
          <w:b w:val="false"/>
          <w:i/>
          <w:color w:val="000000"/>
          <w:sz w:val="20"/>
        </w:rPr>
        <w:t>Payment Event</w:t>
      </w:r>
      <w:r>
        <w:rPr>
          <w:rFonts w:ascii="Times New Roman;serif" w:hAnsi="Times New Roman;serif"/>
          <w:b w:val="false"/>
          <w:color w:val="000000"/>
          <w:sz w:val="20"/>
        </w:rPr>
        <w:t>), and terminating on the later to occur of (i) fourteen (14) months from the date of the Payment Event or (ii) ninety (90) days from the date that the U.S. Food and Drug Administration accepts our PH80 Investigational New Drug (</w:t>
      </w:r>
      <w:r>
        <w:rPr>
          <w:rFonts w:ascii="Times New Roman;serif" w:hAnsi="Times New Roman;serif"/>
          <w:b w:val="false"/>
          <w:i/>
          <w:color w:val="000000"/>
          <w:sz w:val="20"/>
        </w:rPr>
        <w:t>IND</w:t>
      </w:r>
      <w:r>
        <w:rPr>
          <w:rFonts w:ascii="Times New Roman;serif" w:hAnsi="Times New Roman;serif"/>
          <w:b w:val="false"/>
          <w:color w:val="000000"/>
          <w:sz w:val="20"/>
        </w:rPr>
        <w:t>) application for clinical development of PH80 in the U.S. for the treatment of vasomotor symptoms (hot flashes) due to menopause (the</w:t>
      </w:r>
      <w:r>
        <w:rPr>
          <w:color w:val="000000"/>
        </w:rPr>
        <w:t xml:space="preserve"> </w:t>
      </w:r>
      <w:r>
        <w:rPr>
          <w:rFonts w:ascii="Times New Roman;serif" w:hAnsi="Times New Roman;serif"/>
          <w:b w:val="false"/>
          <w:i/>
          <w:color w:val="000000"/>
          <w:sz w:val="20"/>
        </w:rPr>
        <w:t>Exclusive Negotiation Period</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As consideration for the Exclusive Negotiation Period, Fuji Pharma agreed to make a payment to us of $1.5 million (</w:t>
      </w:r>
      <w:r>
        <w:rPr>
          <w:rFonts w:ascii="Times New Roman;serif" w:hAnsi="Times New Roman;serif"/>
          <w:b w:val="false"/>
          <w:i/>
          <w:color w:val="000000"/>
          <w:sz w:val="20"/>
        </w:rPr>
        <w:t>Purchase Price</w:t>
      </w:r>
      <w:r>
        <w:rPr>
          <w:rFonts w:ascii="Times New Roman;serif" w:hAnsi="Times New Roman;serif"/>
          <w:b w:val="false"/>
          <w:color w:val="000000"/>
          <w:sz w:val="20"/>
        </w:rPr>
        <w:t>), payable upon occurrence of the Payment Event. The Payment Event occurred in October 2023, and we received payment of the Purchase Price in full in November 2023. The Purchase Price is non-refundable, except upon a material breach of the Negotiation Agreement by the Company; however, should the Company and Fuji Pharma enter into the Potential Definitive Agreement, the Purchase Price will be creditable against any upfront fee due in connection with the execution of such Potential Definitive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entire amount remaining unrecognized under the Negotiation Agreement of $1.3 million was classified as short term, as a component of deferred revenue, current portion, on the condensed consolidated balance sheets. During the three and six months ended September 30, 2025, we recognized no revenue under the Negotiation Agreement. During the three and six months ended September 30, 2024, we recognized an immaterial amount of revenue under the Negotiation Agreement. The remaining deferred revenue under the Negotiation Agreement will be recognized upon termination of the Exclusive Negotiation Period, or accounted for as a creditable prepayment under ASC 606, should an exclusive license agreement be reached with Fuji Pharma prior to the date of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9.</w:t>
      </w:r>
      <w:r>
        <w:rPr>
          <w:color w:val="000000"/>
        </w:rPr>
        <w:t xml:space="preserve"> </w:t>
      </w:r>
      <w:r>
        <w:rPr>
          <w:rFonts w:ascii="Times New Roman;serif" w:hAnsi="Times New Roman;serif"/>
          <w:b/>
          <w:color w:val="000000"/>
          <w:sz w:val="20"/>
        </w:rPr>
        <w:t xml:space="preserve">Related Party Transactions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August 2023, in connection with his retirement, we entered into a consulting agreement with our former Chief Financial Officer, Jerrold D. Dotson, to assist in transition matters related to the employment of our new Chief Financial Officer. Pursuant to the agreement, Mr. Dotson received an initial payment of $100,000 and $10,000 per month from September 2023 through August 2024. In August 2024, the agreement was amended to extend the expiration date to March 31, 2025. and subsequently amended to extend the expiration to March 31, 2026. During the three and six months ended September 30, 2025 and 2024, we recorded expense under the consulting agreement of $30,000 and $60,000,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68" w:before="0" w:after="0"/>
        <w:jc w:val="both"/>
        <w:rPr/>
      </w:pPr>
      <w:r>
        <w:rPr>
          <w:rFonts w:ascii="Times New Roman;serif" w:hAnsi="Times New Roman;serif"/>
          <w:b w:val="false"/>
          <w:color w:val="000000"/>
          <w:sz w:val="20"/>
        </w:rPr>
        <w:t xml:space="preserve">From time to time, we may be party to litigation, arbitration or other legal proceedings in the course of our business, such as the civil action against the Company and its Board of Directors, certain of its executive officers, professional services and financial advisors, and industry analysts in the United States District Court for the Northern District of California (Case No. 4:25-cv-01510) on February 13, 2025, by two purported stockholders, filed </w:t>
      </w:r>
      <w:r>
        <w:rPr>
          <w:rFonts w:ascii="Times New Roman;serif" w:hAnsi="Times New Roman;serif"/>
          <w:b w:val="false"/>
          <w:i/>
          <w:color w:val="000000"/>
          <w:sz w:val="20"/>
        </w:rPr>
        <w:t>pro se</w:t>
      </w:r>
      <w:r>
        <w:rPr>
          <w:color w:val="000000"/>
        </w:rPr>
        <w:t xml:space="preserve"> </w:t>
      </w:r>
      <w:r>
        <w:rPr>
          <w:rFonts w:ascii="Times New Roman;serif" w:hAnsi="Times New Roman;serif"/>
          <w:b w:val="false"/>
          <w:color w:val="000000"/>
          <w:sz w:val="20"/>
        </w:rPr>
        <w:t>(i.e., acting on their own behalf rather than through an attorney), seeking compensatory and punitive damages, as well as fees and costs, which the Company believes are wholly without merit, and intends to vigorously defend itself.</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900"/>
        <w:jc w:val="left"/>
        <w:rPr/>
      </w:pPr>
      <w:r>
        <w:rPr>
          <w:rFonts w:ascii="Times New Roman;serif" w:hAnsi="Times New Roman;serif"/>
          <w:b/>
          <w:color w:val="000000"/>
          <w:sz w:val="20"/>
        </w:rPr>
        <w:t>Item</w:t>
      </w:r>
      <w:r>
        <w:rPr>
          <w:color w:val="000000"/>
        </w:rPr>
        <w:t xml:space="preserve"> </w:t>
      </w:r>
      <w:r>
        <w:rPr>
          <w:rFonts w:ascii="Times New Roman;serif" w:hAnsi="Times New Roman;serif"/>
          <w:b/>
          <w:color w:val="000000"/>
          <w:sz w:val="20"/>
        </w:rPr>
        <w:t>2.    MANAGEMENT</w:t>
      </w:r>
      <w:r>
        <w:rPr>
          <w:color w:val="000000"/>
        </w:rPr>
        <w:t>’</w:t>
      </w:r>
      <w:r>
        <w:rPr>
          <w:rFonts w:ascii="Times New Roman;serif" w:hAnsi="Times New Roman;serif"/>
          <w:b/>
          <w:color w:val="000000"/>
          <w:sz w:val="20"/>
        </w:rPr>
        <w: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Certain statements in this Quarterly Report on Form 10-Q (Quarterly Report or Report) may constitute “forward-looking statements” for purposes of the federal securities laws, including the safe harbor provisions of Section 27A of the Securities Act of 1933, as amended (the Securities Act), and Section 21E of the Securities Exchange Act of 1934, as amended (the Exchange Act), that involve substantial risks and uncertainties.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also forward-looking statements. The words “anticipate,” “believe,” “can,” “contemplate,” continue,” “could,” “estimate,” “expect,” “future,” “intends,” “may,” “might,” “plan,” “possible,” “potential,” “predict,” “project,” “should,” “strategy,” “target,” “will,” “would,” or the negative of these terms or similar expressions may identify forward-looking statements, but the absence of these words does not mean that a statement is not forward-looking. Forward-looking statements in this Report may include, for example, statements about:</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period over which we anticipate our available financial resources will enable us to fund our operating expense;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obtain additional funding for our operations, including funding necessary to complete further development, approval and, if approved, commercialization of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format, objectives, strategy, likelihood of success, and cost of our preclinical studies and clinical trials and other product development activities, including the design of our preclinical studies and clinical trials;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timing of initiation of our preclinical studies and clinical trials;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recruit, enroll and randomize suitable patients in our clinical trials;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timing of completion of our preclinical studies and clinical trials and related preparatory work;</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collect and interpret preclinical and clinical data;</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timing and outcome of regulatory interactions, including whether preclinical studies and clinical trials meet the criteria to enable early-stage or late-stage clinical development or support registration of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potential attributes and benefits of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obtain and, if obtained, maintain regulatory approval for our product candidates, and any related restrictions, limitations or warnings on the label of an approved product candidate;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potential for our business development efforts to optimize the potential value of our neuroscience pipeline;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compete with other companies currently marketing or engaged in the development of treatments for the indications that we pursue or are pursuing for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obtain and maintain intellectual property protection for our product candidates and the duration of such protection;</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contract with and rely on the performance of third-parties to assist in conducting our preclinical studies and clinical trials and manufacturing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size and growth potential of the markets for our product candidates, and our ability to serve those markets, either on our own or in partnership with others;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rate and degree of market acceptance of our product candidates, if approved;</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pricing and reimbursement of our product candidates, if approved;</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regulatory changes, including regulatory personnel, and developments in the U.S. and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impact of laws, regulations, accounting standards, regulatory requirements, judicial decisions and guidance issued by authoritative bodies;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attract and retain key scientific, medical, commercial and management personnel;</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estimates regarding expenses, future revenue, and needs for additional financing;</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future financial performance;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recognize the anticipated benefits of our License and Collaboration Agreement with AffaMed Therapeutics, Inc. (including our ability to receive future payments thereunder) and any other future financing or business development transactions;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effect of adverse market or macroeconomic conditions, including, among others, tariffs, inflation, interest rates and economic uncertainty, market volatility resulting from global political or economic developments, government shutdowns and reductions in force (RIFs) at government regulatory agencies and reductions in force (RIFs) at government regulatory agencies, war, international hostilities and terrorism, any future public health epidemics or outbreaks of infectious disease and other factors on any of the foregoing or other aspects of our business operations, including but not limited to our preclinical studies, clinical trials and other product development activities, healthcare systems and the global economy as a whole; and</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other risks and uncertainties, including those listed under Part I, Item 1A of this Quarterly Report titled “Risk Factors.”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or important factors that may cause actual results or performance to be materially different from those expressed or implied by these forward-looking statements. These risks and uncertainties include, but are not limited to, those factors described in the sections titled “Risk Factors” and “Management’s Discussion and Analysis of Financial Condition and Results of Operations,” set forth in this Quarterly Report.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You should read this Quarterly Report completely and with the understanding that our actual future results may be materially different from what we expect. We qualify all of our forward-looking statements by these cautionary statements.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Quarterly Report. Unless the context otherwise requires, reference in this Quarterly Report to the terms “Vistagen,” “the Company,” “we,” “us,” “our,” and similar designations refer to Vistagen Therapeutics, Inc., a Nevada corporation, and where appropriate, our consolidated subsidiaries.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may contain references to trademarks, trade names and service marks belonging to other entities. Solely for convenience, trademarks, trade names and service marks referred to in this Quarterly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We may from time to time provide estimates, projections and other information concerning our industry, the general business environment, and the markets for certain diseases or disorders, including estimates regarding the potential size of those markets and the estimated incidence and prevalence of certain medical conditions. Information that is based on estimates, forecasts, market research, projections, or similar methodologies is inherently subject to uncertainties, and actual circumstances, events or numbers, including actual disease prevalence rates and market size, may differ materially from the information reflected in this Quarterly Report. Unless otherwise expressly stated, we obtained the industry, market and competitive position data from our internal estimates and research, or from independent market research, industry and general publications and surveys, governmental agencies and publicly available information in addition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research, surveys and studies conducted by third parties that have not been independently verified which may, in the future, prove not to have been accurate.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200" w:after="200"/>
        <w:jc w:val="both"/>
        <w:rPr/>
      </w:pPr>
      <w:r>
        <w:rPr>
          <w:rFonts w:ascii="Times New Roman;serif" w:hAnsi="Times New Roman;serif"/>
          <w:b w:val="false"/>
          <w:color w:val="000000"/>
          <w:sz w:val="20"/>
        </w:rPr>
        <w:t>We are a late clinical-stage biopharmaceutical company leveraging a deep understanding of nose-to-brain neurocircuitry to develop and commercialize a new class of intranasal product candidates called pherines. Our broad and diverse neuroscience pipeline currently consists of five clinical-stage pherine product candidates, each with a novel mechanism of action (</w:t>
      </w:r>
      <w:r>
        <w:rPr>
          <w:rFonts w:ascii="Times New Roman;serif" w:hAnsi="Times New Roman;serif"/>
          <w:b w:val="false"/>
          <w:i/>
          <w:color w:val="000000"/>
          <w:sz w:val="20"/>
        </w:rPr>
        <w:t>MOA</w:t>
      </w:r>
      <w:r>
        <w:rPr>
          <w:rFonts w:ascii="Times New Roman;serif" w:hAnsi="Times New Roman;serif"/>
          <w:b w:val="false"/>
          <w:color w:val="000000"/>
          <w:sz w:val="20"/>
        </w:rPr>
        <w:t xml:space="preserve">) and positive clinical data in their targeted indication(s). Pherines rapidly,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 </w:t>
      </w:r>
    </w:p>
    <w:p>
      <w:pPr>
        <w:pStyle w:val="TextBody"/>
        <w:bidi w:val="0"/>
        <w:spacing w:lineRule="auto" w:line="268" w:before="0" w:after="200"/>
        <w:jc w:val="both"/>
        <w:rPr/>
      </w:pPr>
      <w:r>
        <w:rPr>
          <w:rFonts w:ascii="Times New Roman;serif" w:hAnsi="Times New Roman;serif"/>
          <w:b w:val="false"/>
          <w:color w:val="000000"/>
          <w:sz w:val="20"/>
        </w:rPr>
        <w:t>Our most advanced intranasal pherine product candidate is fasedienol, which is being investigated in our U.S. registration-directed PALISADE Program for the acute treatment of social anxiety disorder (</w:t>
      </w:r>
      <w:r>
        <w:rPr>
          <w:rFonts w:ascii="Times New Roman;serif" w:hAnsi="Times New Roman;serif"/>
          <w:b w:val="false"/>
          <w:i/>
          <w:color w:val="000000"/>
          <w:sz w:val="20"/>
        </w:rPr>
        <w:t>SAD</w:t>
      </w:r>
      <w:r>
        <w:rPr>
          <w:rFonts w:ascii="Times New Roman;serif" w:hAnsi="Times New Roman;serif"/>
          <w:b w:val="false"/>
          <w:color w:val="000000"/>
          <w:sz w:val="20"/>
        </w:rPr>
        <w:t xml:space="preserve">). In August 2023, we received and reported positive topline results from our PALISADE-2 Phase 3 trial of fasedienol for the acute treatment of SAD. The ongoing clinical trials in our PALISADE Program include our PALISADE-3 and PALISADE-4 Phase 3 trials, which are designed similarly to PALISADE-2, and a small exploratory, randomized, double blind, placebo controlled, three-arm Phase 2B clinical trial designed to assess efficacy, safety and tolerability of a repeat dose of fasedienol in adults with SAD in a public speaking challenge in a clinical setting (the </w:t>
      </w:r>
      <w:r>
        <w:rPr>
          <w:rFonts w:ascii="Times New Roman;serif" w:hAnsi="Times New Roman;serif"/>
          <w:b w:val="false"/>
          <w:i/>
          <w:color w:val="000000"/>
          <w:sz w:val="20"/>
        </w:rPr>
        <w:t>Repeat Dose Study</w:t>
      </w:r>
      <w:r>
        <w:rPr>
          <w:rFonts w:ascii="Times New Roman;serif" w:hAnsi="Times New Roman;serif"/>
          <w:b w:val="false"/>
          <w:color w:val="000000"/>
          <w:sz w:val="20"/>
        </w:rPr>
        <w:t>). The Repeat Dose Study was designed based on FDA feedback to evaluate the effect of repeat dosing of fasedienol, potential dosing interval for repeat dose, as well as potential dose response and duration of effect. Topline data for PALISADE-3 are expected in the fourth calendar quarter of 2025 and topline results for PALISADE-4 and the Repeat Dose Study are expected in the first half of calendar 2026.</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also reported positive results from an exploratory Phase 2A clinical trial for each of our next most advanced pherine product candidates, itruvone for treatment of major depressive disorder, and PH80 for both vasomotor symptoms (hot flashes) due to menopause and premenstrual dysphoric disorder, as well as a pilot Phase 2A study of PH15 for improvement of psychomotor impairment due to mental fatigue and an exploratory Phase 2A study of PH284 for treatment of cancer cachexia.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passionate about developing transformative treatment options with potential to meet clear and growing unmet needs and bring meaningful relief to patients underserved by current standards of care and are working to deliver long term value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Our Neuroscience Product Candidates</w:t>
      </w:r>
    </w:p>
    <w:p>
      <w:pPr>
        <w:pStyle w:val="TextBody"/>
        <w:bidi w:val="0"/>
        <w:spacing w:lineRule="auto" w:line="268" w:before="0" w:after="200"/>
        <w:jc w:val="left"/>
        <w:rPr>
          <w:rFonts w:ascii="Times New Roman;serif" w:hAnsi="Times New Roman;serif"/>
          <w:b/>
          <w:color w:val="000000"/>
          <w:sz w:val="20"/>
        </w:rPr>
      </w:pPr>
      <w:r>
        <w:rPr>
          <w:rFonts w:ascii="Times New Roman;serif" w:hAnsi="Times New Roman;serif"/>
          <w:b/>
          <w:color w:val="000000"/>
          <w:sz w:val="20"/>
        </w:rPr>
        <w:t>Fasedienol</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Overview of Social Anxiety Disorder </w:t>
      </w:r>
    </w:p>
    <w:p>
      <w:pPr>
        <w:pStyle w:val="TextBody"/>
        <w:bidi w:val="0"/>
        <w:spacing w:before="0" w:after="0"/>
        <w:jc w:val="left"/>
        <w:rPr/>
      </w:pPr>
      <w:r>
        <w:rPr/>
      </w:r>
    </w:p>
    <w:p>
      <w:pPr>
        <w:pStyle w:val="TextBody"/>
        <w:bidi w:val="0"/>
        <w:spacing w:lineRule="auto" w:line="276" w:before="0" w:after="200"/>
        <w:jc w:val="both"/>
        <w:rPr/>
      </w:pPr>
      <w:r>
        <w:rPr>
          <w:rFonts w:ascii="Times New Roman;serif" w:hAnsi="Times New Roman;serif"/>
          <w:b w:val="false"/>
          <w:color w:val="000000"/>
          <w:sz w:val="20"/>
        </w:rPr>
        <w:t xml:space="preserve">SAD is a highly prevalent, serious, and life-threatening psychiatric mental health disorder affecting over 30 million adults in the U.S. With onset typically early in life, usually during adolescence, SAD </w:t>
      </w:r>
      <w:r>
        <w:rPr>
          <w:rFonts w:ascii="Times New Roman;serif" w:hAnsi="Times New Roman;serif"/>
          <w:b w:val="false"/>
          <w:color w:val="212121"/>
          <w:sz w:val="20"/>
        </w:rPr>
        <w:t xml:space="preserve">persists for many years thereafter, with a </w:t>
      </w:r>
      <w:r>
        <w:rPr>
          <w:rFonts w:ascii="Times New Roman;serif" w:hAnsi="Times New Roman;serif"/>
          <w:b w:val="false"/>
          <w:color w:val="000000"/>
          <w:sz w:val="20"/>
        </w:rPr>
        <w:t>reported mean duration of about 20 years. Individuals with SAD experience extreme anxiety, distress, fear, and impairment due to their fear of being watched, embarrassed, judged, humiliated, negatively evaluated, and scrutinized. The profound acute anxiety associated with SAD often results in avoidance of everyday interactions and opportunities in academic, social and vocational settings, which can lead to impaired personal relationships, unsatisfactory work performance, and substance abuse, significantly impacting various aspects of daily life. Individuals with SAD face an increased risk of serious and life-threatening co-morbid depression, substance abuse, suicidal ideation and suicide.</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Fasedienol for the Acute Treatment of Social Anxiety Disorder</w:t>
      </w:r>
    </w:p>
    <w:p>
      <w:pPr>
        <w:pStyle w:val="TextBody"/>
        <w:bidi w:val="0"/>
        <w:spacing w:before="0" w:after="0"/>
        <w:jc w:val="left"/>
        <w:rPr/>
      </w:pPr>
      <w:r>
        <w:rPr/>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Fasedienol, our lead clinical-stage product candidate, is a synthetic neurocircuitry-focus intranasal pherine in an ongoing U.S. registration-directed Phase 3 clinical development program for the acute treatment of anxiety in adults with SAD. Fasedienol's MOA is fundamentally differentiated from all FDA-approved anti-anxiety medications. When administered intranasally in microgram-level doses, neurocircuitry-focused fasedienol modulates the nasal-limbic amygdala fear and anxiety neurocircuits involved in the pathophysiology of SAD. Fasedienol is pharmacologically active without requiring apparent systemic absorption or direct binding on neurons in the brain to achieve its rapid-onset anxiolytic effects. Fasedienol does not exert effects on certain cellular receptors that are associated with known drug abuse liability potential (for example, dopamine and opiate receptors) when activated by certain other pharmaceutical compounds for neuropsychiatric and neurological disorders. Unlike benzodiazepines, fasedienol does not potentiate GABA-A. Because of its innovative non-systemic neurocircuitry-focused MOA, we believe fasedienol has the potential to achieve rapid-onset anxiolytic effects for individuals with SAD on an acute, as-needed basis, with a significantly reduced risk of unwanted side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effects and safety concerns, such as potential drug-drug interactions, abuse, misuse, and addiction, associated with certain current oral and other systemically absorbed neuropsychiatric pharmaceuticals that act directly on neurons in the brain and are sometimes prescribed off-label for the acute treatment of SAD.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Fasedienol's U.S. Registration-directed PALISADE Program </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Fasedienol is under development, and has received fast track designation, for the acute treatment of SAD, and is designed to reduce the wave of anxiety usually experienced by SAD patients before engaging in (and during) a feared and anxiety-provoking social or performance situation. While there are approved treatments for SAD, none is approved for the acute treatment of SAD on an as-needed basis in connection with an anxiety-producing social or performance-based event. We have designed fasedienol with the goal of creating a product candidate with a rapid-onset non-systemic proposed MOA and pharmacological effect, a key and substantial difference between fasedienol and all other available therapies approved by the FDA for the treatment of SAD.</w:t>
      </w:r>
    </w:p>
    <w:p>
      <w:pPr>
        <w:pStyle w:val="TextBody"/>
        <w:bidi w:val="0"/>
        <w:spacing w:lineRule="auto" w:line="276" w:before="0" w:after="200"/>
        <w:jc w:val="both"/>
        <w:rPr/>
      </w:pPr>
      <w:r>
        <w:rPr>
          <w:rFonts w:ascii="Times New Roman;serif" w:hAnsi="Times New Roman;serif"/>
          <w:b w:val="false"/>
          <w:color w:val="000000"/>
          <w:sz w:val="20"/>
        </w:rPr>
        <w:t>Our PALISADE Program includes the PALISADE-1, PALISADE-2, PALISADE-3, and PALISADE-4 Phase 3 studies. These clinical trials are randomized, double-blind, placebo-controlled, U.S. multi-center clinical trials designed to evaluate the efficacy, safety, and tolerability of a single dose of fasedienol to relieve anxiety symptoms in adult patients with SAD during a five-minute, simulated, anxiety-provoking public speaking challenge conducted in a clinical setting, as measured using the patient-rated Subjective Units of Distress Scale (</w:t>
      </w:r>
      <w:r>
        <w:rPr>
          <w:rFonts w:ascii="Times New Roman;serif" w:hAnsi="Times New Roman;serif"/>
          <w:b w:val="false"/>
          <w:i/>
          <w:color w:val="000000"/>
          <w:sz w:val="20"/>
        </w:rPr>
        <w:t>SUDS</w:t>
      </w:r>
      <w:r>
        <w:rPr>
          <w:rFonts w:ascii="Times New Roman;serif" w:hAnsi="Times New Roman;serif"/>
          <w:b w:val="false"/>
          <w:color w:val="000000"/>
          <w:sz w:val="20"/>
        </w:rPr>
        <w:t xml:space="preserve">) as the primary efficacy endpoint. Our PALISADE-1 clinical trial, completed in 2022, was conducted during the COVID-19 pandemic and did not meet its primary endpoint. After receipt of PALISADE-1 data, we terminated the PALISADE-2 study early prior to completion (after enrolling 141 patients out of a planned 208). However, after terminating the study early, we analyzed the data from the 141 enrolled subjects and announced in 2023 that the study successfully met its primary efficacy endpoint. Based on the positive data from PALISADE-2, we initiated the PALISADE-3 and PALISADE-4 Phase 3 studies using the same randomized portion of the trial designs and endpoints to PALISADE-2, and each with an open-label extension. Topline data from the randomized portion of PALISADE-3 are expected in the fourth calendar quarter of 2025 and topline results from the randomized portion of PALISADE-4 are expected in the first half of calendar 2026. </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have aligned with the FDA that a clinic-based public speaking challenge and the SUDS are the appropriate study design and primary efficacy endpoint, respectively, to measure anxiety immediately related to the specific stressor, and is an appropriate and efficient path for our U.S. registration-directed PALISADE Program, which is focused on fasedienol’s potential to become the first FDA-approved acute treatment of anxiety for adults with SAD. Based on FDA feedback, in addition to the Repeat Dose Study, we plan to generate evidence to support the clinical meaningfulness of the duration and magnitude of effect of fasedienol, which we intend to include in a potential NDA submission together with data from our pivotal program, Repeat Dose Study, open-label long-term safety study, a human factors study, and other clinical and preclinical studies. </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We believe either PALISADE-3 or PALISADE-4, if successful, together with the positive results from PALISADE-2, may establish substantial evidence of the effectiveness of fasedienol in support of a potential NDA submission to the U.S. FDA for the acute treatment of SAD. As we move closer toward completion of Phase 3 development, we plan to seek further feedback from the FDA regarding the proposed submission package for a potential NDA.</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fasedienol has the potential to be the first FDA-approved acute treatment of SAD and may provide significant advantages relative to the suboptimal standard of care for the highly prevalent disorder. </w:t>
      </w:r>
    </w:p>
    <w:p>
      <w:pPr>
        <w:pStyle w:val="TextBody"/>
        <w:bidi w:val="0"/>
        <w:spacing w:lineRule="auto" w:line="268" w:before="200" w:after="200"/>
        <w:jc w:val="both"/>
        <w:rPr>
          <w:rFonts w:ascii="Times New Roman;serif" w:hAnsi="Times New Roman;serif"/>
          <w:b/>
          <w:color w:val="000000"/>
          <w:sz w:val="20"/>
        </w:rPr>
      </w:pPr>
      <w:r>
        <w:rPr>
          <w:rFonts w:ascii="Times New Roman;serif" w:hAnsi="Times New Roman;serif"/>
          <w:b/>
          <w:color w:val="000000"/>
          <w:sz w:val="20"/>
        </w:rPr>
        <w:t>Itruvone</w:t>
      </w:r>
    </w:p>
    <w:p>
      <w:pPr>
        <w:pStyle w:val="TextBody"/>
        <w:bidi w:val="0"/>
        <w:spacing w:lineRule="auto" w:line="268" w:before="200" w:after="200"/>
        <w:jc w:val="both"/>
        <w:rPr>
          <w:rFonts w:ascii="Times New Roman;serif" w:hAnsi="Times New Roman;serif"/>
          <w:b/>
          <w:i/>
          <w:color w:val="000000"/>
          <w:sz w:val="20"/>
        </w:rPr>
      </w:pPr>
      <w:r>
        <w:rPr>
          <w:rFonts w:ascii="Times New Roman;serif" w:hAnsi="Times New Roman;serif"/>
          <w:b/>
          <w:i/>
          <w:color w:val="000000"/>
          <w:sz w:val="20"/>
        </w:rPr>
        <w:t>Overview of Major Depressive Disorder</w:t>
      </w:r>
    </w:p>
    <w:p>
      <w:pPr>
        <w:pStyle w:val="TextBody"/>
        <w:bidi w:val="0"/>
        <w:spacing w:lineRule="auto" w:line="276" w:before="0" w:after="200"/>
        <w:jc w:val="both"/>
        <w:rPr/>
      </w:pPr>
      <w:r>
        <w:rPr>
          <w:rFonts w:ascii="Times New Roman;serif" w:hAnsi="Times New Roman;serif"/>
          <w:b w:val="false"/>
          <w:color w:val="000000"/>
          <w:sz w:val="20"/>
        </w:rPr>
        <w:t>Depression is a serious medical condition and a global public health concern that can arise at any time during a person's life. According to the World Health Organization (</w:t>
      </w:r>
      <w:r>
        <w:rPr>
          <w:rFonts w:ascii="Times New Roman;serif" w:hAnsi="Times New Roman;serif"/>
          <w:b w:val="false"/>
          <w:i/>
          <w:color w:val="000000"/>
          <w:sz w:val="20"/>
        </w:rPr>
        <w:t>WHO</w:t>
      </w:r>
      <w:r>
        <w:rPr>
          <w:rFonts w:ascii="Times New Roman;serif" w:hAnsi="Times New Roman;serif"/>
          <w:b w:val="false"/>
          <w:color w:val="000000"/>
          <w:sz w:val="20"/>
        </w:rPr>
        <w:t>), depression effects over 300 million people worldwide. The U.S. National Institute of Mental Health (</w:t>
      </w:r>
      <w:r>
        <w:rPr>
          <w:rFonts w:ascii="Times New Roman;serif" w:hAnsi="Times New Roman;serif"/>
          <w:b w:val="false"/>
          <w:i/>
          <w:color w:val="000000"/>
          <w:sz w:val="20"/>
        </w:rPr>
        <w:t>NIMH</w:t>
      </w:r>
      <w:r>
        <w:rPr>
          <w:rFonts w:ascii="Times New Roman;serif" w:hAnsi="Times New Roman;serif"/>
          <w:b w:val="false"/>
          <w:color w:val="000000"/>
          <w:sz w:val="20"/>
        </w:rPr>
        <w:t>) reports that approximately 21 million adults in the U.S., or approximately 8.4% of all adults in the U.S., experienced at least one major depressive episode in 2020. While many individuals will experience a depressive episode at some point during their lifetime, major depressive disorder (</w:t>
      </w:r>
      <w:r>
        <w:rPr>
          <w:rFonts w:ascii="Times New Roman;serif" w:hAnsi="Times New Roman;serif"/>
          <w:b w:val="false"/>
          <w:i/>
          <w:color w:val="000000"/>
          <w:sz w:val="20"/>
        </w:rPr>
        <w:t>MDD</w:t>
      </w:r>
      <w:r>
        <w:rPr>
          <w:rFonts w:ascii="Times New Roman;serif" w:hAnsi="Times New Roman;serif"/>
          <w:b w:val="false"/>
          <w:color w:val="000000"/>
          <w:sz w:val="20"/>
        </w:rPr>
        <w:t>) is different. MDD is the chronic, pervasive feeling of utter unhappiness and suffering, which impairs daily functioning. Symptoms of MDD can include a lack of pleasure in activities, changes in appetite resulting in weight fluctuations, insomnia or excessive 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For many people, depression cannot be controlled for any length of time without treatment. However, approximately two out of every three people with depression do not experience adequate therapeutic benefits from their initial treatment with a standard antidepressant. Even after multiple treatment attempts, about one-third of individuals with depression are unable to find a sufficiently effective therapy. Inadequate response to current treatments is among the key reasons MDD is one of the leading public health concerns in the U.S., creating a significant unmet medical need for new agents with fundamentally differentiated MOAs and differentiated safety.</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Itruvone for the Treatment of Major Depressive Disorder</w:t>
      </w:r>
    </w:p>
    <w:p>
      <w:pPr>
        <w:pStyle w:val="TextBody"/>
        <w:bidi w:val="0"/>
        <w:spacing w:before="0" w:after="0"/>
        <w:jc w:val="left"/>
        <w:rPr/>
      </w:pPr>
      <w:r>
        <w:rPr/>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Itruvone is our investigational pherine product candidate under development as a stand-alone treatment of MDD, an indication for which the FDA has granted fast track designation. Unlike other antidepressants which rely on single or double-receptor occupancy in the brain, itruvone's proposed MOA involves modulation of the nasal-limbic amygdala anhedonia and depressed mood neurocircuits. The scope of itruvone's neural circuit activation, and potential impact on the brain, appears, in studies completed to date, to be wider, faster and safer than can be achieved with current therapies targeting binding to any specific brain receptor. We believe non-systemic itruvone has the potential to treat MDD without causing the side effects and safety concerns that may be associated with currently approved systemic antidepressant therapies, including, among others, drug-drug interactions, psychological side effects, sexual side effects, sedation, weight gain and suicidal ideation.</w:t>
      </w:r>
    </w:p>
    <w:p>
      <w:pPr>
        <w:pStyle w:val="TextBody"/>
        <w:bidi w:val="0"/>
        <w:spacing w:lineRule="auto" w:line="276" w:before="0" w:after="200"/>
        <w:jc w:val="both"/>
        <w:rPr/>
      </w:pPr>
      <w:r>
        <w:rPr>
          <w:rFonts w:ascii="Times New Roman;serif" w:hAnsi="Times New Roman;serif"/>
          <w:b w:val="false"/>
          <w:color w:val="000000"/>
          <w:sz w:val="20"/>
        </w:rPr>
        <w:t>In a randomized, double-blind, placebo-controlled parallel design exploratory Phase 2A clinical trial of itruvone as a stand-alone treatment for MDD, itruvone reduced depressive symptoms in as early as one week based on the 17-item Hamilton Depression Scale (</w:t>
      </w:r>
      <w:r>
        <w:rPr>
          <w:rFonts w:ascii="Times New Roman;serif" w:hAnsi="Times New Roman;serif"/>
          <w:b w:val="false"/>
          <w:i/>
          <w:color w:val="000000"/>
          <w:sz w:val="20"/>
        </w:rPr>
        <w:t>HAM-D-17</w:t>
      </w:r>
      <w:r>
        <w:rPr>
          <w:rFonts w:ascii="Times New Roman;serif" w:hAnsi="Times New Roman;serif"/>
          <w:b w:val="false"/>
          <w:color w:val="000000"/>
          <w:sz w:val="20"/>
        </w:rPr>
        <w:t>) scores compared to placebo. Itruvone was well-tolerated and did not cause psychological side effects (such as dissociation), sexual side effects, weight gain, or other safety concerns that may be associated with other approved pharmacological therapies for MDD. Positive data from our June 2023 Phase 1 trial of itruvone demonstrated that there were no reported treatment-related serious adverse events (</w:t>
      </w:r>
      <w:r>
        <w:rPr>
          <w:rFonts w:ascii="Times New Roman;serif" w:hAnsi="Times New Roman;serif"/>
          <w:b w:val="false"/>
          <w:i/>
          <w:color w:val="000000"/>
          <w:sz w:val="20"/>
        </w:rPr>
        <w:t>SAEs</w:t>
      </w:r>
      <w:r>
        <w:rPr>
          <w:rFonts w:ascii="Times New Roman;serif" w:hAnsi="Times New Roman;serif"/>
          <w:b w:val="false"/>
          <w:color w:val="000000"/>
          <w:sz w:val="20"/>
        </w:rPr>
        <w:t>) or discontinuations due to adverse events in the trial. As a result, building on the positive results from Phase 2A clinical development of itruvone in MDD, we are currently planning for potential U.S. Phase 2B clinical development of itruvone as a stand-alone treatment for MDD.</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PH80</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Overview of Vasomotor Symptoms (Hot Flashes) due to Menopause</w:t>
      </w:r>
    </w:p>
    <w:p>
      <w:pPr>
        <w:pStyle w:val="TextBody"/>
        <w:bidi w:val="0"/>
        <w:spacing w:lineRule="auto" w:line="276" w:before="0" w:after="0"/>
        <w:jc w:val="both"/>
        <w:rPr/>
      </w:pPr>
      <w:r>
        <w:rPr>
          <w:rFonts w:ascii="Times New Roman;serif" w:hAnsi="Times New Roman;serif"/>
          <w:b w:val="false"/>
          <w:color w:val="000000"/>
          <w:sz w:val="20"/>
        </w:rPr>
        <w:t>Vasomotor symptoms (</w:t>
      </w:r>
      <w:r>
        <w:rPr>
          <w:rFonts w:ascii="Times New Roman;serif" w:hAnsi="Times New Roman;serif"/>
          <w:b w:val="false"/>
          <w:i/>
          <w:color w:val="000000"/>
          <w:sz w:val="20"/>
        </w:rPr>
        <w:t>VMS</w:t>
      </w:r>
      <w:r>
        <w:rPr>
          <w:rFonts w:ascii="Times New Roman;serif" w:hAnsi="Times New Roman;serif"/>
          <w:b w:val="false"/>
          <w:color w:val="000000"/>
          <w:sz w:val="20"/>
        </w:rPr>
        <w:t xml:space="preserve">), comprised of hot flashes and night sweats, are the most common symptoms of the menopausal transition, affecting 60% - 80% of menopausal women in the U.S., according to SWAN (Study of Women Across the Nation) and other published studies. VMS can be described as a sudden, intense feeling of warmth spreading through the upper body and face, flushed appearance with red, blotchy skin, rapid heartbeat, and perspiration on the upper body. Each episode typically lasts between one and five minutes and may be accompanied by sweating, chills, and anxiety. Although there is individual variability in the frequency and severity of symptoms, VMS negatively impacts physical, emotional, social, and occupational well-being, and can significantly diminish the overall quality of life and work productivity for those who experience symptoms. While there are FDA-approved therapies for the treatment of moderate to severe VMS due to menopause, many women are unable to use currently therapies due to contraindications and safety concerns, such as cardiovascular disorders, dementia, breast cancer, and liver toxicity.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PH80 for the Treatment of Vasomotor Symptoms (Hot Flashes) due to Menopause</w:t>
      </w:r>
    </w:p>
    <w:p>
      <w:pPr>
        <w:pStyle w:val="TextBody"/>
        <w:bidi w:val="0"/>
        <w:spacing w:before="0" w:after="0"/>
        <w:jc w:val="left"/>
        <w:rPr/>
      </w:pPr>
      <w:r>
        <w:rPr/>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PH80 is our investigational pherine product candidate under development as a novel, non-hormonal, non-systemic, as-needed treatment of moderate to severe VMS (hot flashes) due to menopause, and potentially additional women’s health-focused indications. PH80’s MOA is fundamentally differentiated from all currently approved treatments for VMS (hot flashes) due to menopause. Administration of low microgram doses of PH80 appears to rapidly activate peripheral nasal chemosensory neurons that modulate the nasal-limbic amygdala-hypothalamic depressed mood and thermoregulatory neurocircuits. Notably, in vitro studies show that PH80 does not engage steroid receptors; an in vivo study in mice showed no estrogenic and/or androgenic activity and no changes in weight of the uterus or seminal vesicles after intranasal administration. Additionally, an in vitro study has demonstrated that PH80 does not exert effects on receptor targets with known abuse potential, and a clinical study in human volunteers showed no detectable PH80 in blood plasma, indicating the non-systemic nature of PH80's therapeutic benefit.</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 randomized, double-blind, placebo-controlled exploratory Phase 2A clinical study of PH80 that was designed to explore the efficacy, safety, and tolerability of intranasal administration of PH80 for the management of menopausal hot flashes in women, PH80 induced a significant reduction in the daily number of hot flashes compared to placebo at the end of the first week of treatment, and the improvement was maintained through each treatment week until the end of the four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consecutive week treatment period. PH80 was well-tolerated with no SAEs, and the adverse event profiles were comparable between PH80 and placebo. No subject discontinued participation in the study as a result of adverse events.</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We are currently preparing for our planned submission of our U.S. IND to facilitate further Phase 2 clinical development of PH80 in the U.S. as a treatment of moderate to severe VMS (hot flashes) due to menopause and potentially additional women’s health indications.</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Overview of Premenstrual Dysphoric Disorder</w:t>
      </w:r>
    </w:p>
    <w:p>
      <w:pPr>
        <w:pStyle w:val="TextBody"/>
        <w:bidi w:val="0"/>
        <w:spacing w:before="0" w:after="0"/>
        <w:jc w:val="left"/>
        <w:rPr/>
      </w:pPr>
      <w:r>
        <w:rPr/>
      </w:r>
    </w:p>
    <w:p>
      <w:pPr>
        <w:pStyle w:val="TextBody"/>
        <w:bidi w:val="0"/>
        <w:spacing w:lineRule="auto" w:line="276" w:before="0" w:after="200"/>
        <w:jc w:val="both"/>
        <w:rPr/>
      </w:pPr>
      <w:r>
        <w:rPr>
          <w:rFonts w:ascii="Times New Roman;serif" w:hAnsi="Times New Roman;serif"/>
          <w:b w:val="false"/>
          <w:color w:val="000000"/>
          <w:sz w:val="20"/>
        </w:rPr>
        <w:t>According to the U.S. National Institutes of Health (</w:t>
      </w:r>
      <w:r>
        <w:rPr>
          <w:rFonts w:ascii="Times New Roman;serif" w:hAnsi="Times New Roman;serif"/>
          <w:b w:val="false"/>
          <w:i/>
          <w:color w:val="000000"/>
          <w:sz w:val="20"/>
        </w:rPr>
        <w:t>NIH</w:t>
      </w:r>
      <w:r>
        <w:rPr>
          <w:rFonts w:ascii="Times New Roman;serif" w:hAnsi="Times New Roman;serif"/>
          <w:b w:val="false"/>
          <w:color w:val="000000"/>
          <w:sz w:val="20"/>
        </w:rPr>
        <w:t>), 5% to 8% of menarcheal (menstruating women) individuals have moderate-to-severe symptoms that can cause significant distress and functional impairment, suggestive of premenstrual dysphoric disorder (</w:t>
      </w:r>
      <w:r>
        <w:rPr>
          <w:rFonts w:ascii="Times New Roman;serif" w:hAnsi="Times New Roman;serif"/>
          <w:b w:val="false"/>
          <w:i/>
          <w:color w:val="000000"/>
          <w:sz w:val="20"/>
        </w:rPr>
        <w:t>PMDD</w:t>
      </w:r>
      <w:r>
        <w:rPr>
          <w:rFonts w:ascii="Times New Roman;serif" w:hAnsi="Times New Roman;serif"/>
          <w:b w:val="false"/>
          <w:color w:val="000000"/>
          <w:sz w:val="20"/>
        </w:rPr>
        <w:t>), a severe, sometimes disabling extension of premenstrual syndrome (</w:t>
      </w:r>
      <w:r>
        <w:rPr>
          <w:rFonts w:ascii="Times New Roman;serif" w:hAnsi="Times New Roman;serif"/>
          <w:b w:val="false"/>
          <w:i/>
          <w:color w:val="000000"/>
          <w:sz w:val="20"/>
        </w:rPr>
        <w:t>PMS</w:t>
      </w:r>
      <w:r>
        <w:rPr>
          <w:rFonts w:ascii="Times New Roman;serif" w:hAnsi="Times New Roman;serif"/>
          <w:b w:val="false"/>
          <w:color w:val="000000"/>
          <w:sz w:val="20"/>
        </w:rPr>
        <w:t>). Like PMS, PMDD can cause bloating, breast tenderness, fatigue, and changes in sleep and eating habits, but distinctively, it can also cause extreme mood shifts that can disrupt daily life and damage relationships. The cause of PMDD is not clearly understood, but it is thought that neurotransmitter systems may trigger PMDD. Treatment of PMDD is aimed at preventing or minimizing symptomology.</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PH80 for Premenstrual Dysphoric Disorder</w:t>
      </w:r>
    </w:p>
    <w:p>
      <w:pPr>
        <w:pStyle w:val="TextBody"/>
        <w:bidi w:val="0"/>
        <w:spacing w:before="0" w:after="0"/>
        <w:jc w:val="left"/>
        <w:rPr/>
      </w:pPr>
      <w:r>
        <w:rPr/>
      </w:r>
    </w:p>
    <w:p>
      <w:pPr>
        <w:pStyle w:val="TextBody"/>
        <w:bidi w:val="0"/>
        <w:spacing w:lineRule="auto" w:line="276" w:before="0" w:after="200"/>
        <w:jc w:val="both"/>
        <w:rPr/>
      </w:pPr>
      <w:r>
        <w:rPr>
          <w:rFonts w:ascii="Times New Roman;serif" w:hAnsi="Times New Roman;serif"/>
          <w:b w:val="false"/>
          <w:color w:val="000000"/>
          <w:sz w:val="20"/>
        </w:rPr>
        <w:t>In an exploratory, randomized, double-blind, placebo-controlled Phase 2A clinical study of PH80 for management of the symptoms of PMDD in subjects with a regular menstrual cycle and at least a one-year history of PMDD, PH80 demonstrated a statistically significant improvement versus placebo in management of the symptoms of PMDD, including negative mood and physical and behavioral symptoms, using the subject-rated Penn Daily Symptom Report (</w:t>
      </w:r>
      <w:r>
        <w:rPr>
          <w:rFonts w:ascii="Times New Roman;serif" w:hAnsi="Times New Roman;serif"/>
          <w:b w:val="false"/>
          <w:i/>
          <w:color w:val="000000"/>
          <w:sz w:val="20"/>
        </w:rPr>
        <w:t>DSR</w:t>
      </w:r>
      <w:r>
        <w:rPr>
          <w:rFonts w:ascii="Times New Roman;serif" w:hAnsi="Times New Roman;serif"/>
          <w:b w:val="false"/>
          <w:color w:val="000000"/>
          <w:sz w:val="20"/>
        </w:rPr>
        <w:t xml:space="preserve">). PH80 was well-tolerated with no SAEs.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PH15</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Overview of Cognitive and Psychomotor Impairment due to Mental Fatigue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Numerous conditions and disorders, such as shift work disorder, sleep apnea, and narcolepsy, can lead to debilitating sleep deprivation and mental fatigue. The prevalence of these conditions and disorders is high. For example, moderate to severe sleep apnea affects approximately 20% of adult men and 10% of postmenopausal women. Individuals affected by mental fatigue require improved treatment options with a differentiated safety profile, one without the potential for abuse liability or negative and treatment-limiting side effects and safety concerns that may lead to self-treatment and subsequent substance use disorders.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PH15 for Improvement of Psychomotor Impairment due to Mental Fatigue</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PH15 is our investigational pherine product candidate under development as a treatment to improve psychomotor impairment caused by mental fatigue. PH15 is thought to target nasal receptors that modulate the nasal-entorhinal cortex area/hippocampus cognition neurocircuits, that are known to be associated with psychomotor activity and cognition, without requiring systemic absorption or direct action on neurons in the brain. PH15 has demonstrated excellent safety data in all clinical trials completed to date and we believe PH15’s MOA is differentiated from the MOA of all currently approved treatments to improve psychomotor impairment caused by mental fatigue.</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In a randomized, double-blind, placebo-controlled, crossover Phase 2A pilot study (n=10) designed to explore the efficacy, safety, and tolerability of intranasal administration of PH15 on psychomotor performance as measured by reaction time in sleep-deprived participants, PH15 demonstrated a statistically significant improvement in reaction time compared to placebo and caffeine in the sleep-deprived study participants. PH15 was well-tolerated in this study, with no SAEs reported. The adverse event profiles of PH15 and placebo were comparable.</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We are currently evaluating the potential Phase 2 development path forward for PH15 and the manufacturing, nonclinical and Phase 1 clinical programs required to support submission of a U.S. IND to facilitate further potential Phase 2 development of PH15 in the U.S.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PH284</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Overview of Cancer Cachexia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Cachexia, also known as wasting syndrome, is a complex metabolic syndrome that causes a gradual loss of muscle and body weight. Cachexia is associated with chronic diseases like cancer, AIDS, heart failure, chronic obstructive pulmonary disease, anorexia nervosa, multiple sclerosis, tuberculosis, and anemia. According to the National Cancer Institute </w:t>
      </w:r>
      <w:r>
        <w:rPr>
          <w:rFonts w:ascii="Times New Roman;serif" w:hAnsi="Times New Roman;serif"/>
          <w:b w:val="false"/>
          <w:i/>
          <w:color w:val="000000"/>
          <w:sz w:val="20"/>
        </w:rPr>
        <w:t>(NCI)</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cachexia is estimated to occur in up to 80% of people with advanced cancer, depending on the type of cancer and how well they respond to cancer treatment. Cachexia is thought to directly cause up to 30% of cancer deaths, often because of heart or respiratory failure related to muscle loss. Maintaining nutritional support and alleviating cachexia has the potential to improve the underlying condition of cancer. Currently, there are no effective medical interventions or approved drugs proven to alleviate cachexia.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PH284 for Cancer Cachexia</w:t>
      </w:r>
    </w:p>
    <w:p>
      <w:pPr>
        <w:pStyle w:val="TextBody"/>
        <w:bidi w:val="0"/>
        <w:spacing w:before="0" w:after="0"/>
        <w:jc w:val="left"/>
        <w:rPr/>
      </w:pPr>
      <w:r>
        <w:rPr/>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PH284 is our investigational pherine product candidate with a novel, rapid-onset, neurocircuitry-focused proposed MOA that, we believe, is differentiated from all current treatments for the loss of appetite associated with chronic disorders, such as cancer or heart disease. PH284 is thought to act by modulating the nasal-limbic amygdala-hypothalamic depressed mood and appetite control neurocircuits.</w:t>
      </w:r>
    </w:p>
    <w:p>
      <w:pPr>
        <w:pStyle w:val="TextBody"/>
        <w:bidi w:val="0"/>
        <w:spacing w:lineRule="auto" w:line="276" w:before="0" w:after="200"/>
        <w:jc w:val="both"/>
        <w:rPr/>
      </w:pPr>
      <w:r>
        <w:rPr>
          <w:rFonts w:ascii="Times New Roman;serif" w:hAnsi="Times New Roman;serif"/>
          <w:b w:val="false"/>
          <w:color w:val="000000"/>
          <w:sz w:val="20"/>
        </w:rPr>
        <w:t>In a double-blind, placebo-controlled exploratory Phase 2A study designed to evaluate the efficacy, safety, and tolerability of intranasal administration of PH284 in female patients diagnosed with cachexia (induced by chronic loss of appetite) due to terminal cancer, PH284 induced a cumulative effect on mean Subjective Feeling of Hunger (</w:t>
      </w:r>
      <w:r>
        <w:rPr>
          <w:rFonts w:ascii="Times New Roman;serif" w:hAnsi="Times New Roman;serif"/>
          <w:b w:val="false"/>
          <w:i/>
          <w:color w:val="000000"/>
          <w:sz w:val="20"/>
        </w:rPr>
        <w:t>SFH</w:t>
      </w:r>
      <w:r>
        <w:rPr>
          <w:rFonts w:ascii="Times New Roman;serif" w:hAnsi="Times New Roman;serif"/>
          <w:b w:val="false"/>
          <w:color w:val="000000"/>
          <w:sz w:val="20"/>
        </w:rPr>
        <w:t xml:space="preserve">) scores, as compared to placebo. No unusual changes in body weight were observed in either the PH284 or placebo groups, though on average, there was a small gain in body weight for PH284 versus a small loss in placebo. PH284 demonstrated no serious adverse events, and adverse events reported for the PH284 group were similar to those reported in the placebo-treated group. All the adverse events reported were attributed to the underlying medical condition (cancer) and were not deemed to be related to the administration of PH284 or placebo. </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We are currently evaluating the potential path forward for PH284, including an assessment of the manufacturing, nonclinical and Phase 1 clinical programs required to support a U.S. IND application for potential further Phase 2 clinical development of PH284 for the treatment of cancer cachexia or other appetite-related disorders.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AV-101</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i/>
          <w:color w:val="000000"/>
          <w:sz w:val="20"/>
        </w:rPr>
        <w:t>AV-101</w:t>
      </w:r>
      <w:r>
        <w:rPr>
          <w:color w:val="000000"/>
        </w:rPr>
        <w:t xml:space="preserve"> </w:t>
      </w:r>
      <w:r>
        <w:rPr>
          <w:rFonts w:ascii="Times New Roman;serif" w:hAnsi="Times New Roman;serif"/>
          <w:b/>
          <w:i/>
          <w:color w:val="000000"/>
          <w:sz w:val="20"/>
        </w:rPr>
        <w:t>for NMDAR-related Neurological Disorders</w:t>
      </w:r>
    </w:p>
    <w:p>
      <w:pPr>
        <w:pStyle w:val="TextBody"/>
        <w:bidi w:val="0"/>
        <w:spacing w:lineRule="auto" w:line="288" w:before="200" w:after="283"/>
        <w:jc w:val="both"/>
        <w:rPr/>
      </w:pPr>
      <w:r>
        <w:rPr>
          <w:rFonts w:ascii="Times New Roman;serif" w:hAnsi="Times New Roman;serif"/>
          <w:b w:val="false"/>
          <w:color w:val="000000"/>
          <w:sz w:val="20"/>
        </w:rPr>
        <w:t>AV-101 (</w:t>
      </w:r>
      <w:r>
        <w:rPr>
          <w:rFonts w:ascii="Times New Roman;serif" w:hAnsi="Times New Roman;serif"/>
          <w:b w:val="false"/>
          <w:i/>
          <w:color w:val="000000"/>
          <w:sz w:val="20"/>
        </w:rPr>
        <w:t>4-Cl-KYN</w:t>
      </w:r>
      <w:r>
        <w:rPr>
          <w:rFonts w:ascii="Times New Roman;serif" w:hAnsi="Times New Roman;serif"/>
          <w:b w:val="false"/>
          <w:color w:val="000000"/>
          <w:sz w:val="20"/>
        </w:rPr>
        <w:t>) is our novel, oral prodrug candidate that targets the NMDAR (N-methyl-D-aspartate receptor), an ionotropic glutamate receptor in the brain. Abnormal NMDAR function is associated with numerous neurological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w:t>
      </w:r>
      <w:r>
        <w:rPr>
          <w:rFonts w:ascii="Times New Roman;serif" w:hAnsi="Times New Roman;serif"/>
          <w:b w:val="false"/>
          <w:i/>
          <w:color w:val="000000"/>
          <w:sz w:val="20"/>
        </w:rPr>
        <w:t>PK</w:t>
      </w:r>
      <w:r>
        <w:rPr>
          <w:rFonts w:ascii="Times New Roman;serif" w:hAnsi="Times New Roman;serif"/>
          <w:b w:val="false"/>
          <w:color w:val="000000"/>
          <w:sz w:val="20"/>
        </w:rPr>
        <w:t>)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SAEs that are often observed with classic channel-blocking NMDAR antagonists such as ketamine and amantadine. Nonclinical results also indicate that chronic administration of 4-Cl-KYN induces hippocampal neurogenesis and increases endogenous levels of KYNA, which also is a functional NMDAR glycine site antagonist.</w:t>
      </w:r>
    </w:p>
    <w:p>
      <w:pPr>
        <w:pStyle w:val="TextBody"/>
        <w:bidi w:val="0"/>
        <w:spacing w:lineRule="auto" w:line="288" w:before="200" w:after="283"/>
        <w:jc w:val="both"/>
        <w:rPr/>
      </w:pPr>
      <w:r>
        <w:rPr>
          <w:rFonts w:ascii="Times New Roman;serif" w:hAnsi="Times New Roman;serif"/>
          <w:b w:val="false"/>
          <w:color w:val="000000"/>
          <w:sz w:val="20"/>
        </w:rPr>
        <w:t>Based on observations and findings from preclinical studies, we believe AV-101 has the potential to become an oral treatment alternative for multiple neuroscience disorders, including levodopa-induced dyskinesia (</w:t>
      </w:r>
      <w:r>
        <w:rPr>
          <w:rFonts w:ascii="Times New Roman;serif" w:hAnsi="Times New Roman;serif"/>
          <w:b w:val="false"/>
          <w:i/>
          <w:color w:val="000000"/>
          <w:sz w:val="20"/>
        </w:rPr>
        <w:t>LID</w:t>
      </w:r>
      <w:r>
        <w:rPr>
          <w:rFonts w:ascii="Times New Roman;serif" w:hAnsi="Times New Roman;serif"/>
          <w:b w:val="false"/>
          <w:color w:val="000000"/>
          <w:sz w:val="20"/>
        </w:rPr>
        <w:t>) and neuropathic pain (</w:t>
      </w:r>
      <w:r>
        <w:rPr>
          <w:rFonts w:ascii="Times New Roman;serif" w:hAnsi="Times New Roman;serif"/>
          <w:b w:val="false"/>
          <w:i/>
          <w:color w:val="000000"/>
          <w:sz w:val="20"/>
        </w:rPr>
        <w:t>NP</w:t>
      </w:r>
      <w:r>
        <w:rPr>
          <w:rFonts w:ascii="Times New Roman;serif" w:hAnsi="Times New Roman;serif"/>
          <w:b w:val="false"/>
          <w:color w:val="000000"/>
          <w:sz w:val="20"/>
        </w:rPr>
        <w:t xml:space="preserve">) potentially among others. We are currently assessing whether there is a path forward for potential collaborative manufacturing, clinical development and commercialization of AV-101 for one or more neurological disorders involving the NMDAR.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FDA has granted Fast Track designation for the investigation of AV-101 for the treatment of NP and for the adjunctive treatment of MDD.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Subsidiaries</w:t>
      </w:r>
    </w:p>
    <w:p>
      <w:pPr>
        <w:pStyle w:val="TextBody"/>
        <w:bidi w:val="0"/>
        <w:spacing w:lineRule="auto" w:line="288" w:before="200" w:after="283"/>
        <w:jc w:val="both"/>
        <w:rPr/>
      </w:pPr>
      <w:r>
        <w:rPr>
          <w:rFonts w:ascii="Times New Roman;serif" w:hAnsi="Times New Roman;serif"/>
          <w:b w:val="false"/>
          <w:color w:val="000000"/>
          <w:sz w:val="20"/>
        </w:rPr>
        <w:t>Our wholly-owned subsidiaries consist of Pherin Pharmaceuticals, Inc, a Delaware corporation (</w:t>
      </w:r>
      <w:r>
        <w:rPr>
          <w:rFonts w:ascii="Times New Roman;serif" w:hAnsi="Times New Roman;serif"/>
          <w:b w:val="false"/>
          <w:i/>
          <w:color w:val="000000"/>
          <w:sz w:val="20"/>
        </w:rPr>
        <w:t>Pherin</w:t>
      </w:r>
      <w:r>
        <w:rPr>
          <w:rFonts w:ascii="Times New Roman;serif" w:hAnsi="Times New Roman;serif"/>
          <w:b w:val="false"/>
          <w:color w:val="000000"/>
          <w:sz w:val="20"/>
        </w:rPr>
        <w:t>), and Vistastem, Inc., a California corporation founded in 1998 (</w:t>
      </w:r>
      <w:r>
        <w:rPr>
          <w:rFonts w:ascii="Times New Roman;serif" w:hAnsi="Times New Roman;serif"/>
          <w:b w:val="false"/>
          <w:i/>
          <w:color w:val="000000"/>
          <w:sz w:val="20"/>
        </w:rPr>
        <w:t>Vistastem</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Operations Overview and Results of Operations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Financial Overview</w:t>
      </w:r>
    </w:p>
    <w:p>
      <w:pPr>
        <w:pStyle w:val="TextBody"/>
        <w:bidi w:val="0"/>
        <w:spacing w:lineRule="auto" w:line="268" w:before="0" w:after="0"/>
        <w:jc w:val="both"/>
        <w:rPr/>
      </w:pPr>
      <w:r>
        <w:rPr>
          <w:rFonts w:ascii="Times New Roman;serif" w:hAnsi="Times New Roman;serif"/>
          <w:b w:val="false"/>
          <w:color w:val="000000"/>
          <w:sz w:val="20"/>
        </w:rPr>
        <w:t>Since inception, we have devoted substantial resources to advancing initiatives related to research, development, and contract manufacturing of our neuroscience pipeline, including initiatives related to manufacturing processes, analytical methods and production programs for drug substance and finished drug product, as well as for preclinical studies and clinical trials focused on development and potential commercialization of our product candidates, with substantial emphasis on our lead pherine product candidates, fasedienol, itruvone, and PH80, for the acute treatment of SAD, and treatment of MDD and VMS due to menopause, respectively, over the last several years. At the end of our fiscal year ended March 31, 2024, we launched our PALISADE-3 Phase 3 clinical trial as part of our U.S. registration-directed PALISADE Program evaluating fasedienol for the acute treatment of anxiety in adults with SAD, and in September 2024, we initiated our PALISADE-4 Phase 3 clinical trial for the same indication, and incurred costs to plan and prepare for the initiation the Repeat Dose Study, which we initiated in January 2025. Both the PALISADE-4 Phase 3 trial and the Repeat Dose Study are also parts of our PALISADE Program for fasedienol in SAD. In addition, we are continuing to conduct various nonclinical studies and contract manufacturing activities involving other clinical-stage pherine product candidates in our neuroscience pipeline. We also have ongoing initiatives for creating, protecting and patenting intellectual property (</w:t>
      </w:r>
      <w:r>
        <w:rPr>
          <w:rFonts w:ascii="Times New Roman;serif" w:hAnsi="Times New Roman;serif"/>
          <w:b w:val="false"/>
          <w:i/>
          <w:color w:val="000000"/>
          <w:sz w:val="20"/>
        </w:rPr>
        <w:t>IP</w:t>
      </w:r>
      <w:r>
        <w:rPr>
          <w:rFonts w:ascii="Times New Roman;serif" w:hAnsi="Times New Roman;serif"/>
          <w:b w:val="false"/>
          <w:color w:val="000000"/>
          <w:sz w:val="20"/>
        </w:rPr>
        <w:t xml:space="preserve">) related to our neuroscience product candidates and nasal spray delivery device technologies. </w:t>
      </w:r>
    </w:p>
    <w:p>
      <w:pPr>
        <w:pStyle w:val="TextBody"/>
        <w:bidi w:val="0"/>
        <w:spacing w:lineRule="auto" w:line="288" w:before="200" w:after="283"/>
        <w:jc w:val="both"/>
        <w:rPr/>
      </w:pPr>
      <w:r>
        <w:rPr>
          <w:rFonts w:ascii="Times New Roman;serif" w:hAnsi="Times New Roman;serif"/>
          <w:b w:val="false"/>
          <w:color w:val="000000"/>
          <w:sz w:val="20"/>
        </w:rPr>
        <w:t>At September 30, 2025, we had an accumulated deficit of approximately $442.1 million. Our net loss for the year ended March 31, 2025 (</w:t>
      </w:r>
      <w:r>
        <w:rPr>
          <w:rFonts w:ascii="Times New Roman;serif" w:hAnsi="Times New Roman;serif"/>
          <w:b w:val="false"/>
          <w:i/>
          <w:color w:val="000000"/>
          <w:sz w:val="20"/>
        </w:rPr>
        <w:t>Fiscal 2025</w:t>
      </w:r>
      <w:r>
        <w:rPr>
          <w:rFonts w:ascii="Times New Roman;serif" w:hAnsi="Times New Roman;serif"/>
          <w:b w:val="false"/>
          <w:color w:val="000000"/>
          <w:sz w:val="20"/>
        </w:rPr>
        <w:t>) and the year ended March 31, 2024 (</w:t>
      </w:r>
      <w:r>
        <w:rPr>
          <w:rFonts w:ascii="Times New Roman;serif" w:hAnsi="Times New Roman;serif"/>
          <w:b w:val="false"/>
          <w:i/>
          <w:color w:val="000000"/>
          <w:sz w:val="20"/>
        </w:rPr>
        <w:t>Fiscal 2024</w:t>
      </w:r>
      <w:r>
        <w:rPr>
          <w:rFonts w:ascii="Times New Roman;serif" w:hAnsi="Times New Roman;serif"/>
          <w:b w:val="false"/>
          <w:color w:val="000000"/>
          <w:sz w:val="20"/>
        </w:rPr>
        <w:t>) was approximately $51.4 million and $29.4 million, respectively, and we incurred a net loss of approximately $19.4 million and $34.5 million for the three and six months ended September 30, 2025, respectively. We expect losses to continue for the foreseeable future as we engage in further research, clinical and nonclinical development, contract manufacturing, pre-commercialization, and regulatory activities related to fasedienol, itruvone, PH80 and our other pherine product candidates. We have not yet achieved revenue-generating status from any of our product candidates or technologies in amounts sufficient to sustain our operations and enable our strategic business plans.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Sublicense and Other Revenue</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Sublicense and other revenue consist of revenue recognized under our License and Collaboration Agreement with AffaMed Therapeutics, Inc. (</w:t>
      </w:r>
      <w:r>
        <w:rPr>
          <w:rFonts w:ascii="Times New Roman;serif" w:hAnsi="Times New Roman;serif"/>
          <w:b w:val="false"/>
          <w:i/>
          <w:color w:val="000000"/>
          <w:sz w:val="20"/>
        </w:rPr>
        <w:t>the Affamed Agreement</w:t>
      </w:r>
      <w:r>
        <w:rPr>
          <w:rFonts w:ascii="Times New Roman;serif" w:hAnsi="Times New Roman;serif"/>
          <w:b w:val="false"/>
          <w:color w:val="000000"/>
          <w:sz w:val="20"/>
        </w:rPr>
        <w:t xml:space="preserve">) and our Exclusive Negotiation Agreement (the </w:t>
      </w:r>
      <w:r>
        <w:rPr>
          <w:rFonts w:ascii="Times New Roman;serif" w:hAnsi="Times New Roman;serif"/>
          <w:b w:val="false"/>
          <w:i/>
          <w:color w:val="000000"/>
          <w:sz w:val="20"/>
        </w:rPr>
        <w:t>Negotiation Agreement</w:t>
      </w:r>
      <w:r>
        <w:rPr>
          <w:rFonts w:ascii="Times New Roman;serif" w:hAnsi="Times New Roman;serif"/>
          <w:b w:val="false"/>
          <w:color w:val="000000"/>
          <w:sz w:val="20"/>
        </w:rPr>
        <w:t>) with Fuji Pharma Co., Ltd. Revenue is recognized as identified performance obligations are satisfied.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Operating Expense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date, our research and development expense has consisted primarily of external and internal costs related to the development of our product candidates and development programs. Our research and development expense primarily includes: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External costs, including:</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erif" w:hAnsi="Times New Roman;serif"/>
          <w:b w:val="false"/>
          <w:color w:val="000000"/>
          <w:sz w:val="20"/>
        </w:rPr>
        <w:t>expenses incurred in connection with planning, preparing for and conducting clinical trials, including investigator grants and site payments, and pass-through expenses and expenses incurred under agreements with our contract research organizations (</w:t>
      </w:r>
      <w:r>
        <w:rPr>
          <w:rFonts w:ascii="Times New Roman;serif" w:hAnsi="Times New Roman;serif"/>
          <w:b w:val="false"/>
          <w:i/>
          <w:color w:val="000000"/>
          <w:sz w:val="20"/>
        </w:rPr>
        <w:t>CROs</w:t>
      </w:r>
      <w:r>
        <w:rPr>
          <w:rFonts w:ascii="Times New Roman;serif" w:hAnsi="Times New Roman;serif"/>
          <w:b w:val="false"/>
          <w:color w:val="000000"/>
          <w:sz w:val="20"/>
        </w:rPr>
        <w:t>), central laboratories and other vendors and service providers engaged to conduct our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expenses incurred in connection with the discovery and preclinical development of our product candidates, including under agreements with third parties, such as consultants and CROs;</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erif" w:hAnsi="Times New Roman;serif"/>
          <w:b w:val="false"/>
          <w:color w:val="000000"/>
          <w:sz w:val="20"/>
        </w:rPr>
        <w:t>costs associated with consultants for chemistry, manufacturing, and control (</w:t>
      </w:r>
      <w:r>
        <w:rPr>
          <w:rFonts w:ascii="Times New Roman;serif" w:hAnsi="Times New Roman;serif"/>
          <w:b w:val="false"/>
          <w:i/>
          <w:color w:val="000000"/>
          <w:sz w:val="20"/>
        </w:rPr>
        <w:t>CMC</w:t>
      </w:r>
      <w:r>
        <w:rPr>
          <w:rFonts w:ascii="Times New Roman;serif" w:hAnsi="Times New Roman;serif"/>
          <w:b w:val="false"/>
          <w:color w:val="000000"/>
          <w:sz w:val="20"/>
        </w:rPr>
        <w:t>) development, and other manufacturing-related services;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cost of manufacturing compounds for use in our nonclinical studies and clinical trials, including under agreements with third parties, such as consultants and third-party contract manufacturers; and</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costs related to compliance with development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Internal costs, including:</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employee-related expenses, including salaries, related benefits, travel and share-based compensation expenses for employees engaged in research and development functions;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costs of laboratory supplies and acquiring and developing preclinical study materials; and</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facilities, depreciation and other expenses, which include allocated expenses for rent and maintenance of facilities, and supplies.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and regulatory pathways. Product candidates in later stages of development generally have higher development costs than those in earlier stages of development.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research and development expenses may vary significantly based on a wide variety of factors, such as: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and scope, rate of progress, expense and results of our preclinical development activities and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trials required for regulatory approval;</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sites included in each of our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length of time required to enroll eligible patients;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patients that participate in the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ability to identify appropriate patients eligible for our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doses that patients receive during such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drop-out or discontinuation rates of patients;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potential additional safety monitoring requested by regulatory agencies;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duration of patient participation in the trials and follow-up;</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phase of development of the product candidate;</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efficacy and safety profile of the product candidate;</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timing, receipt, and terms of any approvals from applicable regulatory authorities including the FDA and non-U.S. regulators;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maintaining a continued acceptable safety profile of our product candidates following approval, if any;</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cost and timing of manufacturing our product candidates and our reliance on third-party CDMOs;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significant and changing government regulation and regulatory guidance;</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the impact of any business interruptions to our operations or to those of the third parties with whom we work, including consolidation of third-party CROs, CDMOs or preclinical and clinical research sites involved in our product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adverse effects on the financial markets, the global economy, the supply chain and our expenses due to pandemics or other epidemic diseases, geopolitical instability, government shutdowns and RIFs, inflation, rising interest rates, government tariffs and other factors; and</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extent to which we establish additional strategic collaborations or other arrangements.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any of our product candidates could significantly change the costs and timing associated with the development of that product candidate. The process of conducting the necessary preclinical and clinical research and development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salaries, bonuses, related benefits and stock-based compensation expense for personnel in executive, legal, finance and administrative functions; professional fees for legal, consulting, accounting and audit services; and travel expenses, technology costs and other allocated expenses. We expense general and administrative expenses in the periods in which they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Results of Operations for the Three and Six Months Ended September 30, 2025</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our operations for the three and six months ended September 30, 2025 and 2024 (in thousands):</w:t>
      </w:r>
    </w:p>
    <w:tbl>
      <w:tblPr>
        <w:tblW w:w="7994" w:type="dxa"/>
        <w:jc w:val="center"/>
        <w:tblInd w:w="0" w:type="dxa"/>
        <w:tblLayout w:type="fixed"/>
        <w:tblCellMar>
          <w:top w:w="28" w:type="dxa"/>
          <w:left w:w="28" w:type="dxa"/>
          <w:bottom w:w="28" w:type="dxa"/>
          <w:right w:w="28" w:type="dxa"/>
        </w:tblCellMar>
      </w:tblPr>
      <w:tblGrid>
        <w:gridCol w:w="906"/>
        <w:gridCol w:w="794"/>
        <w:gridCol w:w="804"/>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i/>
          <w:color w:val="000000"/>
          <w:sz w:val="20"/>
        </w:rPr>
        <w:t>Revenue</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recognized $0.3 million and $0.5 million in sublicense and other revenue for the three and six months ended September 30, 2025, as compared to $0.2 million and $0.3 million for the three and six months ended September 30, 2024, respectively. The increase in sublicense and other revenue of is due to timing of revenue recognized under the AffaMed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Absent the achievement of milestones under the AffaMed Agreement, or the execution of similar agreements in the future, if any, we expect sublicense and other revenue to stay consistent in future periods as we continue to recognize revenue under the AffaMed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 for the three and six months ended September 30, 2025 and 2024 (in thousands):</w:t>
      </w:r>
    </w:p>
    <w:tbl>
      <w:tblPr>
        <w:tblW w:w="10205" w:type="dxa"/>
        <w:jc w:val="center"/>
        <w:tblInd w:w="0" w:type="dxa"/>
        <w:tblLayout w:type="fixed"/>
        <w:tblCellMar>
          <w:top w:w="28" w:type="dxa"/>
          <w:left w:w="28" w:type="dxa"/>
          <w:bottom w:w="28" w:type="dxa"/>
          <w:right w:w="28" w:type="dxa"/>
        </w:tblCellMar>
      </w:tblPr>
      <w:tblGrid>
        <w:gridCol w:w="1827"/>
        <w:gridCol w:w="1589"/>
        <w:gridCol w:w="159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27"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nonclinical studies and development expense by program</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Fasedienol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clinical and nonclinical studies and development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all 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$15.9 million and $27.7 million for the three and six months ended September 30, 2025, as compared to $10.2 million and $17.9 million for the three and six months ended September 30, 2024,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increase of $5.7 million in research and development expense for the three months ended September 30, 2025 as compared to the same period in Fiscal 2025 was primarily due to an increase in expense of $5.5 million related to our U.S. registration-directed PALISADE Program for fasedienol for the acute treatment of SAD, and an increase of $0.1 million in connection with the increased headcount.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increase of $9.8 million in research and development expense for the six months ended September 30, 2025 as compared to the same period in Fiscal 2025 was primarily due to an increase in clinical development expense of $9.7 million, related to our U.S. registration-directed PALISADE Program for fasedienol for the acute treatment of SAD and an increase of $0.2 million in connection with increased headcount, partially offset by a decrease in consulting and professional services of $0.3 million.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expect that our research and development expense will increase over the next fiscal year as we continue to advance our pherine product candidates through nonclinical studies, clinical trials, and expand third-party contract manufacturing and regulatory activities required to advance further research and development of our current pherine product candidates and potentially, additional pherine product candidates, maintain, expand, protect and enforce our intellectual property portfolio, and hire additional headcount. At this time, we cannot accurately estimate or know the nature, timing and costs of the efforts that will be necessary to complete the nonclinical and clinical development of any pherine product candidates we may develop. A change in the outcome of any number of variables with respect to product candidates we may develop could significantly change the costs and timing associated with the development of that product candidate.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$4.4 million and $8.7 million for the three and six months ended September 30, 2025, as compared to $4.2 million and $8.8 million for the three and six months ended September 30, 2024,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that our general and administrative expense may increase substantially over the next fiscal year as we hire additional personnel to support the continued growth of our research and development, contract manufacturing and pre-commercialization operations and incur additional expenses associated with being a public company.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Interest income, net, decreased for the three and six months ended September 30, 2025 as compared to the same period in Fiscal 2025 primarily due to a decrease in amounts invested in interest bearing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240" w:after="283"/>
        <w:jc w:val="both"/>
        <w:rPr/>
      </w:pPr>
      <w:r>
        <w:rPr>
          <w:rFonts w:ascii="Times New Roman;serif" w:hAnsi="Times New Roman;serif"/>
          <w:b w:val="false"/>
          <w:color w:val="000000"/>
          <w:sz w:val="20"/>
        </w:rPr>
        <w:t xml:space="preserve">Since our inception, we have not generated any revenue from product sales and have incurred significant operating losses and negative cash flows from our operations. To date, as of September 30, 2025, we have financed our operations and technology acquisitions primarily through the issuance and sale of our equity securities for cash proceeds of approximately $370.2 million, as well as from an aggregate of approximately $22.7 million of government research grant awards (excluding the fair market value of government-sponsored and funded clinical trials), strategic collaboration payments, intellectual property licensing payments, and other revenues. Additionally, we have issued equity securities with an approximate value at issuance of $41.3 million for non-cash acquisitions of product licenses, consideration for our acquisition of Pherin Pharmaceuticals, Inc. in February 2023 (the </w:t>
      </w:r>
      <w:r>
        <w:rPr>
          <w:rFonts w:ascii="Times New Roman;serif" w:hAnsi="Times New Roman;serif"/>
          <w:b w:val="false"/>
          <w:i/>
          <w:color w:val="000000"/>
          <w:sz w:val="20"/>
        </w:rPr>
        <w:t>Pherin Acquisition</w:t>
      </w:r>
      <w:r>
        <w:rPr>
          <w:rFonts w:ascii="Times New Roman;serif" w:hAnsi="Times New Roman;serif"/>
          <w:b w:val="false"/>
          <w:color w:val="000000"/>
          <w:sz w:val="20"/>
        </w:rPr>
        <w:t>), and in settlements of certain liabilities, including liabilities for professional services rendered to us or as compensation for such services.</w:t>
      </w:r>
    </w:p>
    <w:p>
      <w:pPr>
        <w:pStyle w:val="TextBody"/>
        <w:bidi w:val="0"/>
        <w:spacing w:lineRule="auto" w:line="288" w:before="200" w:after="283"/>
        <w:jc w:val="both"/>
        <w:rPr/>
      </w:pPr>
      <w:r>
        <w:rPr>
          <w:rFonts w:ascii="Times New Roman;serif" w:hAnsi="Times New Roman;serif"/>
          <w:b w:val="false"/>
          <w:color w:val="000000"/>
          <w:sz w:val="20"/>
        </w:rPr>
        <w:t>In addition, we received net proceeds of approximately $93.5 million from an underwritten public offering of our securities in October 2023 (</w:t>
      </w:r>
      <w:r>
        <w:rPr>
          <w:rFonts w:ascii="Times New Roman;serif" w:hAnsi="Times New Roman;serif"/>
          <w:b w:val="false"/>
          <w:i/>
          <w:color w:val="000000"/>
          <w:sz w:val="20"/>
        </w:rPr>
        <w:t>October 2023 Public Offering</w:t>
      </w:r>
      <w:r>
        <w:rPr>
          <w:rFonts w:ascii="Times New Roman;serif" w:hAnsi="Times New Roman;serif"/>
          <w:b w:val="false"/>
          <w:color w:val="000000"/>
          <w:sz w:val="20"/>
        </w:rPr>
        <w:t>), and $1.5 million in connection with the execution of the Negotiation Agreement with Fuji Pharma Co., Ltd. in September 2023.</w:t>
      </w:r>
    </w:p>
    <w:p>
      <w:pPr>
        <w:pStyle w:val="TextBody"/>
        <w:bidi w:val="0"/>
        <w:spacing w:lineRule="auto" w:line="288" w:before="200" w:after="283"/>
        <w:jc w:val="both"/>
        <w:rPr/>
      </w:pPr>
      <w:r>
        <w:rPr>
          <w:rFonts w:ascii="Times New Roman;serif" w:hAnsi="Times New Roman;serif"/>
          <w:b w:val="false"/>
          <w:color w:val="000000"/>
          <w:sz w:val="20"/>
        </w:rPr>
        <w:t xml:space="preserve">In May 2021, we entered into an Open Market Sale Agreement (the </w:t>
      </w:r>
      <w:r>
        <w:rPr>
          <w:rFonts w:ascii="Times New Roman;serif" w:hAnsi="Times New Roman;serif"/>
          <w:b w:val="false"/>
          <w:i/>
          <w:color w:val="000000"/>
          <w:sz w:val="20"/>
        </w:rPr>
        <w:t>Sales Agreement</w:t>
      </w:r>
      <w:r>
        <w:rPr>
          <w:rFonts w:ascii="Times New Roman;serif" w:hAnsi="Times New Roman;serif"/>
          <w:b w:val="false"/>
          <w:color w:val="000000"/>
          <w:sz w:val="20"/>
        </w:rPr>
        <w:t>) with Jefferies LLC (</w:t>
      </w:r>
      <w:r>
        <w:rPr>
          <w:rFonts w:ascii="Times New Roman;serif" w:hAnsi="Times New Roman;serif"/>
          <w:b w:val="false"/>
          <w:i/>
          <w:color w:val="000000"/>
          <w:sz w:val="20"/>
        </w:rPr>
        <w:t>Jefferies</w:t>
      </w:r>
      <w:r>
        <w:rPr>
          <w:rFonts w:ascii="Times New Roman;serif" w:hAnsi="Times New Roman;serif"/>
          <w:b w:val="false"/>
          <w:color w:val="000000"/>
          <w:sz w:val="20"/>
        </w:rPr>
        <w:t xml:space="preserve">) as sales agent, with respect to an at-the-market offering program, under which we were permitted, at our option, to offer and sell, from time to time, shares of our common stock having an aggregate offering price of up to $75.0 million. In February 2024, the aggregate offering price available under the Sales Agreement was increased to up to $100 million, and in June 2025, the aggregate offering price available under the Sales Agreement was increased to up to $175 million. During the three and six months ended September 30, 2025, we sold an aggregate of 9,608,772 and 9,798,839 shares under the Sales Agreement, for net proceeds of $27.9 million and $28.3 million, respectively. We did not sell any shares under the Sales Agreement, during the three or six months ended September 30, 2024.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cash, cash equivalents, and marketable securities of approximately $77.2 million. As of November 13, 2025, the issuance date of the condensed consolidated financial statements in this Quarterly Report as of and for the three and six months ended September 30, 2025, there is uncertainty about whether our combined cash, cash equivalents, and marketable securities will be sufficient to fund operations beyond twelve months from the issuance date of these condensed consolidated financial statements and therefore we concluded that substantial doubt existed about our ability to continue as a going concern.</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When necessary and/or advantageous, we will seek additional capital to fund our planned operations through (i) sales of our equity and/or debt securities in one or more public offerings and/or private placements, including, but not limited to sales of our securities under the Sales Agreement, (ii) non-dilutive government grants and research awards and/or (iii) non-dilutive strategic partnering collaborations to advance development and commercialization of one or more of our product candidates. However, no assurance can be provided that any such sales of our securities, awards, agreements or collaborations will occur in the future. While we may make additional sales of our equity securities, we do not have an obligation to do so.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and/or debt-based capital and potentially from non-dilutive sources other than debt-based capital, and continue to carefully manage our operating costs, including, but not limited to, our clinical, nonclinical, and pre-commercialization programs.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there can be no assurance that future financings will be available to us in sufficient amounts, in a timely manner, or on terms acceptable to us, if at all, or that any current or future development and commercialization collaborations will generate revenue from future potential milestone payments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cash and cash equivalents for the periods stated (in thousands):</w:t>
      </w:r>
    </w:p>
    <w:tbl>
      <w:tblPr>
        <w:tblW w:w="7242" w:type="dxa"/>
        <w:jc w:val="center"/>
        <w:tblInd w:w="0" w:type="dxa"/>
        <w:tblLayout w:type="fixed"/>
        <w:tblCellMar>
          <w:top w:w="28" w:type="dxa"/>
          <w:left w:w="28" w:type="dxa"/>
          <w:bottom w:w="28" w:type="dxa"/>
          <w:right w:w="28" w:type="dxa"/>
        </w:tblCellMar>
      </w:tblPr>
      <w:tblGrid>
        <w:gridCol w:w="1562"/>
        <w:gridCol w:w="1377"/>
        <w:gridCol w:w="1380"/>
        <w:gridCol w:w="237"/>
        <w:gridCol w:w="894"/>
        <w:gridCol w:w="122"/>
        <w:gridCol w:w="122"/>
        <w:gridCol w:w="122"/>
        <w:gridCol w:w="122"/>
        <w:gridCol w:w="237"/>
        <w:gridCol w:w="894"/>
        <w:gridCol w:w="173"/>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(32,605)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(34,920)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62,786 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84,246 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September 30, 2025 was $32.6 million, consisting primarily of our net loss of $34.5 million, adjusted for $2.1 million of non-cash charges primarily related to stock-based compensation expense and amortization of our operating lease right-of-use asset, and $0.2 million in net changes in operating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September 30, 2024 was $21.8 million, consisting primarily of our net loss of $23.7 million, adjusted for $2.4 million of non-cash charges primarily related to stock-based compensation expense and amortization of our operating lease right-of-use asset, and $0.5 million in net changes in operating assets and liabilities.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September 30, 2025 was $0.9 million, consisting of purchases of marketable securities and property and equipment, partially offset by the sale and maturity of marketable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September 30, 2024 was $13.3 million, consisting of purchases of marketable securities and property and equipment, partially offset by the sale and maturity of marketable securities.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six months ended September 30, 2025 was $29.1 million, consisting primarily of net proceeds from the sale of common stock in at-the-market transactions under the Sales Agreement of $28.3 million, and proceeds from the issued note payable related to the insurance premium financing arrangement of $1.0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six months ended September 30, 2024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00" w:after="283"/>
        <w:jc w:val="both"/>
        <w:rPr/>
      </w:pPr>
      <w:r>
        <w:rPr>
          <w:rFonts w:ascii="Times New Roman;serif" w:hAnsi="Times New Roman;serif"/>
          <w:b w:val="false"/>
          <w:color w:val="000000"/>
          <w:sz w:val="20"/>
        </w:rPr>
        <w:t xml:space="preserve">There have been no other material changes in our contractual obligations and commitments during the three and six months ended September 30, 2025, from those described under the heading “Management’s Discussion and Analysis of Financial Condition and Results of Operations—Contractual Obligations and Commitments” in our Annual Report on Form 10-K for the year ended March 31, 2025, filed with the SEC on June 17, 2025 (the </w:t>
      </w:r>
      <w:r>
        <w:rPr>
          <w:rFonts w:ascii="Times New Roman;serif" w:hAnsi="Times New Roman;serif"/>
          <w:b w:val="false"/>
          <w:i/>
          <w:color w:val="000000"/>
          <w:sz w:val="20"/>
        </w:rPr>
        <w:t>Annual Report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during the three and six months ended September 30, 2025, as compared to the critical accounting policies and estimates disclosed in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both"/>
        <w:rPr/>
      </w:pPr>
      <w:r>
        <w:rPr>
          <w:rFonts w:ascii="Times New Roman;serif" w:hAnsi="Times New Roman;serif"/>
          <w:b w:val="false"/>
          <w:color w:val="000000"/>
          <w:sz w:val="20"/>
        </w:rPr>
        <w:t xml:space="preserve">We are a smaller reporting company, as defined by Rule 12b-2 under the Securities and Exchange Act of 1934, as amended (the </w:t>
      </w:r>
      <w:r>
        <w:rPr>
          <w:rFonts w:ascii="Times New Roman;serif" w:hAnsi="Times New Roman;serif"/>
          <w:b w:val="false"/>
          <w:i/>
          <w:color w:val="000000"/>
          <w:sz w:val="20"/>
        </w:rPr>
        <w:t>Exchange Act</w:t>
      </w:r>
      <w:r>
        <w:rPr>
          <w:rFonts w:ascii="Times New Roman;serif" w:hAnsi="Times New Roman;serif"/>
          <w:b w:val="false"/>
          <w:color w:val="000000"/>
          <w:sz w:val="20"/>
        </w:rPr>
        <w:t>), and in Item 10(f)(1) of Regulation S-K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(principal executive officer), who is also serving as our interim principal financial and accounting officer, evaluated the effectiveness of our disclosure controls and procedures as of September 30, 2025. The term “disclosure controls and procedures” as defined in Rule 13a-15(e) of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2025, our Chief Executive Officer and interim principal financial and accounting officer concluded that, as of such date, our disclosure controls and procedures were effective at the reasonable assurance level.</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 13a-15(f) of the Exchange Act) from that described in our Annual Report that occurred during the quarter ended September 30, 2025, to which this Report relates,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0" w:after="200"/>
        <w:jc w:val="both"/>
        <w:rPr/>
      </w:pPr>
      <w:r>
        <w:rPr>
          <w:rFonts w:ascii="Times New Roman;serif" w:hAnsi="Times New Roman;serif"/>
          <w:b w:val="false"/>
          <w:color w:val="000000"/>
          <w:sz w:val="20"/>
        </w:rPr>
        <w:t xml:space="preserve">On February 13, 2025, John Cesario and David Preka (the </w:t>
      </w:r>
      <w:r>
        <w:rPr>
          <w:rFonts w:ascii="Times New Roman;serif" w:hAnsi="Times New Roman;serif"/>
          <w:b w:val="false"/>
          <w:i/>
          <w:color w:val="000000"/>
          <w:sz w:val="20"/>
        </w:rPr>
        <w:t>Plaintiffs</w:t>
      </w:r>
      <w:r>
        <w:rPr>
          <w:rFonts w:ascii="Times New Roman;serif" w:hAnsi="Times New Roman;serif"/>
          <w:b w:val="false"/>
          <w:color w:val="000000"/>
          <w:sz w:val="20"/>
        </w:rPr>
        <w:t xml:space="preserve">) filed a civil action, </w:t>
      </w:r>
      <w:r>
        <w:rPr>
          <w:rFonts w:ascii="Times New Roman;serif" w:hAnsi="Times New Roman;serif"/>
          <w:b w:val="false"/>
          <w:i/>
          <w:color w:val="000000"/>
          <w:sz w:val="20"/>
        </w:rPr>
        <w:t>pro se</w:t>
      </w:r>
      <w:r>
        <w:rPr>
          <w:color w:val="000000"/>
        </w:rPr>
        <w:t xml:space="preserve"> </w:t>
      </w:r>
      <w:r>
        <w:rPr>
          <w:rFonts w:ascii="Times New Roman;serif" w:hAnsi="Times New Roman;serif"/>
          <w:b w:val="false"/>
          <w:color w:val="000000"/>
          <w:sz w:val="20"/>
        </w:rPr>
        <w:t xml:space="preserve">(i.e., acting on their own behalf rather than through an attorney), in the United States District Court for the Northern District of California (Case No. 4:25-cv-01510) (the </w:t>
      </w:r>
      <w:r>
        <w:rPr>
          <w:rFonts w:ascii="Times New Roman;serif" w:hAnsi="Times New Roman;serif"/>
          <w:b w:val="false"/>
          <w:i/>
          <w:color w:val="000000"/>
          <w:sz w:val="20"/>
        </w:rPr>
        <w:t>Complaint</w:t>
      </w:r>
      <w:r>
        <w:rPr>
          <w:rFonts w:ascii="Times New Roman;serif" w:hAnsi="Times New Roman;serif"/>
          <w:b w:val="false"/>
          <w:color w:val="000000"/>
          <w:sz w:val="20"/>
        </w:rPr>
        <w:t xml:space="preserve">) against the Company and its Board, certain of its executive officers, professional services and financial advisors, and industry analysts. The Plaintiffs filed an amended complaint on March 10, 2025 (the </w:t>
      </w:r>
      <w:r>
        <w:rPr>
          <w:rFonts w:ascii="Times New Roman;serif" w:hAnsi="Times New Roman;serif"/>
          <w:b w:val="false"/>
          <w:i/>
          <w:color w:val="000000"/>
          <w:sz w:val="20"/>
        </w:rPr>
        <w:t>First Amended Complaint</w:t>
      </w:r>
      <w:r>
        <w:rPr>
          <w:rFonts w:ascii="Times New Roman;serif" w:hAnsi="Times New Roman;serif"/>
          <w:b w:val="false"/>
          <w:color w:val="000000"/>
          <w:sz w:val="20"/>
        </w:rPr>
        <w:t xml:space="preserve">). On September 3, 2025, we filed a motion to dismiss the First Amended Complaint. On October 9, 2025, the Court granted Plaintiffs leave to amend the First Amended Complaint, and on November 3, 2025, the Plaintiffs filed a second amended complaint (the </w:t>
      </w:r>
      <w:r>
        <w:rPr>
          <w:rFonts w:ascii="Times New Roman;serif" w:hAnsi="Times New Roman;serif"/>
          <w:b w:val="false"/>
          <w:i/>
          <w:color w:val="000000"/>
          <w:sz w:val="20"/>
        </w:rPr>
        <w:t>Second Amended Complaint</w:t>
      </w:r>
      <w:r>
        <w:rPr>
          <w:rFonts w:ascii="Times New Roman;serif" w:hAnsi="Times New Roman;serif"/>
          <w:b w:val="false"/>
          <w:color w:val="000000"/>
          <w:sz w:val="20"/>
        </w:rPr>
        <w:t>). A hearing on the motion to dismiss is currently scheduled for December 9, 2025. On November 6, 2025, we filed a response to the Second Amended Complaint requesting that the Court maintain the currently scheduled hearing on December 9, 2025.</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The Plaintiffs seek compensatory and punitive damages, as well as fees and costs. The operative complaint alleges violations of Section 10(b) of the Securities Exchange Act of 1934, as amended, and Rule 10b-5 promulgated thereunder, along with other causes of action. The Plaintiffs allege, among other things, that the Company, and certain of its executive officers, made misleading statements and material omissions in various public disclosures concerning clinical trials for certain of the Company’s product candidates, which they allege caused plaintiffs to incur compensable losses. The Complaint also alleges that the Board, certain of the Company’s professional and financial advisors, and industry analysts aided and abetted the alleged wrongful conduct. The Company believes all allegations asserted in the Complaint are wholly without merit, and intends to defend them vigorously.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You should carefully consider the risks and uncertainties described below, together with the other information in this Report, including our Condensed Consolidated Financial Statements and the related notes included in this Report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elsewhere in this Report and described below are not intended to be exhaustive and are not the only ones we face. Additional risks and uncertainties not presently known to us, or that we currently deem immaterial, may also impair our business operations. This Report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are a clinical-stage biopharmaceutical company with no approved products or revenues from product sales, and limited experience developing and commercializing new product candidates, which makes it difficult to assess our future viability;</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depend heavily on the success of our product candidates, and we cannot be certain that we will be able to obtain regulatory approval for, or successfully commercialize, any of our current or future product candidates;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successful completion of nonclinical studies and/or clinical trials in any of our product candidate development programs may not be sufficient to cause the FDA to approve any NDA that we may submit, or cause any other agency to provide regulatory approval of any of our product candidates, and, even if approved, does not ensure acceptance of such product candidates by clinicians leading to a revenue stream to support our operations;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failures of ongoing or future nonclinical or clinical trials of our product candidates, or material delays in the completion and/or commencement of our ongoing or planned nonclinical or clinical trials, could result in increased costs to us and could delay, prevent or limit our ability to generate revenue and continue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focused on neuroscience drug development, a field that has seen very limited success. The ability to successfully develop product candidates in this field is extremely difficult and is subject to a number of unique challenges;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incurred significant net losses since inception, and we will continue to incur substantial operating losses for the foreseeable future;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require substantial additional financing to execute our business plan, including further nonclinical and clinical development, contract manufacturing and potential commercialization of our product candidates;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raising additional capital in equity-based financing transactions will cause substantial dilution to our existing stockholders, may restrict our operations or require us to relinquish rights to our product candidates, and may require us to seek stockholder approval to authorize additional shares of our common stock;</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experienced rapid growth since early 2021. If we fail to effectively manage our growth, including but not limited to growth of our operating expenses and headcount, we may not be able to execute on our business objectives;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rely on third party collaborators to assist in conducting our nonclinical studies and clinical trials and if they do not perform satisfactorily, we may not be able to obtain regulatory approval or commercialize our product candidates, or such approval or commercialization may be delayed, and our business could be substantially harmed;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we are unable to retain or attract key management and scientific personnel, we may be unable to successfully produce, develop, and commercialize our product candidates;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operate in highly competitive and rapidly changing industries, which may result in others discovering, developing or commercializing competing products before or more successfully than we do;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nonclinical and clinical drug development is a lengthy and expensive process, with an uncertain outcome. 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face significant competition, and if we are unable to compete effectively, we may not be able to achieve or maintain significant market penetration or improve our results of operations;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we are unable to adequately protect our proprietary technology and product candidates, or obtain and maintain issued patents that are sufficient to protect our product candidates, others could compete against us more directly, which would have a material adverse impact on our business, results of operations, financial condition and prospects;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reduction in staffing, large staff turnover, changes to key personnel on applicable regulatory review teams and/or inadequate funding for the FDA or other government agencies, including those resulting from government shutdowns and reductions in force (</w:t>
      </w:r>
      <w:r>
        <w:rPr>
          <w:rFonts w:ascii="Times New Roman;serif" w:hAnsi="Times New Roman;serif"/>
          <w:b w:val="false"/>
          <w:i/>
          <w:color w:val="000000"/>
          <w:sz w:val="20"/>
        </w:rPr>
        <w:t>RIFs</w:t>
      </w:r>
      <w:r>
        <w:rPr>
          <w:rFonts w:ascii="Times New Roman;serif" w:hAnsi="Times New Roman;serif"/>
          <w:b w:val="false"/>
          <w:color w:val="000000"/>
          <w:sz w:val="20"/>
        </w:rPr>
        <w:t>), could hinder those agencies from performing normal business functions on which the operation of our business may rely, which could negatively impact our business;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other risks and uncertainties, including those described below.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we are unable to effectively manage the impact of these and other risks, our ability to operate and execute our strategic business plan would be substantially impaired. In turn, the value of our securities would be materially reduced.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successful development of pharmaceutical products is highly uncertain.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Successful development of pharmaceutical products is highly uncertain and is dependent on numerous factors, many of which are beyond our control. Product candidates that appear promising in the early phases of development may fail to reach the market for several reasons,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or difficulties in enrollment and completion of any of our clinical trials;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clinical trial results may show the product candidates to be less effective than expected (for example, a clinical trial could fail to meet its primary or key secondary endpoint(s)) or have an unacceptable safety or tolerability profile;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review of IND, NDA or similar foreign applications, preparation, discussions with the FDA or foreign regulatory authorities, a FDA or foreign regulatory authority request for additional preclinical or clinical data (such as long-term toxicology studies) or unexpected safety or manufacturing issues;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FDA or other equivalent non-U.S. regulatory authorities may find the chemistry, manufacturing and controls, or (</w:t>
      </w:r>
      <w:r>
        <w:rPr>
          <w:rFonts w:ascii="Times New Roman;serif" w:hAnsi="Times New Roman;serif"/>
          <w:b w:val="false"/>
          <w:i/>
          <w:color w:val="000000"/>
          <w:sz w:val="20"/>
        </w:rPr>
        <w:t>CMC</w:t>
      </w:r>
      <w:r>
        <w:rPr>
          <w:rFonts w:ascii="Times New Roman;serif" w:hAnsi="Times New Roman;serif"/>
          <w:b w:val="false"/>
          <w:color w:val="000000"/>
          <w:sz w:val="20"/>
        </w:rPr>
        <w:t>) data insufficient to support the quality of our product candidates;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preclinical study results may show the product candidate to be less effective than desired or to have harmful side effects;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post-marketing approval requirements; or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proprietary rights of others and their competing products and technologies that may prevent our product candidates from being commercialized.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cGMPs and similar foreign requirements,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business is highly dependent on the success of our product candidates. If we are unable to successfully complete clinical development, obtain regulatory approval for or commercialize one or more of our product candidates, or if we experience delays in doing so, our business will be materially harmed.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date, as an organization, we have not completed the development of any of our product candidates. Our future success and ability to generate revenue from our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encounters safety or efficacy problems, development delays or regulatory issues or other problems, our development plans and business would be materially harmed.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 We may not have the financial resources to continue development of or commercialize our product candidates if we experience any issues that further delay or prevent regulatory approval of, or our ability to commercialize, our product candidates, including: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inability to demonstrate to the satisfaction of the FDA or comparable foreign regulatory authorities that our product candidates are safe and effective;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insufficiency of our financial and other resources to complete the necessary preclinical studies, clinical trials and regulatory submissions or necessary to fund pre-commercial and commercial activities to establish sales, marketing and distribution capabilities needed to successfully commercialize an approved product;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negative or inconclusive results from our preclinical studies, clinical trials or the clinical trials of others for product candidates similar to ours, leading to a decision or requirement to conduct additional preclinical studies, clinical trials or abandon a program;</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product-related adverse events experienced by subjects in our clinical trials, including unexpected toxicity results, or by individuals using drugs or therapeutic biologics similar to our product candidates;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in submitting an IND or comparable foreign applications or delays or failure in obtaining the necessary approvals or allowances from regulators to commence a clinical trial or a suspension or termination, or hold, of a clinical trial once commenced;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conditions imposed by the FDA or comparable foreign regulatory authorities regarding the scope or design of our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poor effectiveness of our product candidates observed during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better than expected performance of control arms, such as placebo groups, which could lead to negative or inconclusive results from our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in enrolling subjects in our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high drop-out rates of subjects from our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inadequate supply or quality of product candidates or other materials necessary for the conduct of our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higher than anticipated clinical trial or manufacturing costs;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unfavorable FDA or comparable regulatory authority inspection and review of our clinical trial sites;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 of our third-party contractors or investigators to comply with regulatory requirements or the clinical trial protocol or otherwise meet their contractual obligations in a timely manner, or at all;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and changes in regulatory requirements, policies and guidelines, including the imposition of additional regulatory oversight around clinical testing generally or with respect to our therapies in particular; or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varying interpretations of data by the FDA and comparable foreign regulatory authorities.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are a clinical-stage biopharmaceutical company with no recurring revenues from product sales or approved products. We are not profitable and have incurred losses in each period since our inception. We expect to continue to incur significant losses for the foreseeable future, and we expect these losses to increase as we continue our research and development of, and seek regulatory approvals for, and commercialization of our product candidates.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We have no products approved for commercial sale and have generated no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$51.4 million and $29.4 million for the years ended March 31, 2025 and 2024, respectively, and we incurred a net loss of $34.5 million during the six months ended September 30, 2025. We expect to continue to incur significant losses for the foreseeable future, and we expect these losses to increase as we continue our research and development of, and seek regulatory approvals for, and commercialization of our product candidates.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that our expenses will increase substantially if, and as, we: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advance our product candidates through clinical development, including as we advance these candidates into and through later-stage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seek regulatory approvals for any product candidates that successfully complete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hire additional clinical, quality control, medical, scientific and other technical personnel to support the clinical development of our product candidates;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experience an increase in headcount as we expand our research and development organization and market development and pre-commercial planning activities;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undertake any pre-commercial and commercial activities to establish sales, marketing and distribution capabilities;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advance our preclinical-stage product candidates into clinical development;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our expenses could increase beyond our expectations if we are required by the FDA or other regulatory authorities to perform preclinical studies or clinical trials in addition to those that we currently anticipate, or if there are any delays in establishing appropriate manufacturing arrangements for or in completing our clinical trials or the development of any of our product candidates.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have never generated revenue from product sales and may never be profitable.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become and remain profitable depends on our ability to generate revenue or execute other business development arrangements. We do not expect to generate significant revenue, if any, unless and until we are able to obtain regulatory approval for, and successfully commercialize, one or more product candidates we are developing or may develop. Successful commercialization will require achievement of many key milestones, including demonstrating sufficient evidence of safety and efficacy in clinical trials, obtaining regulatory approval for these product candidates, manufacturing, marketing and selling those products for which we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do, we may never generate revenues that are significant enough for us to achieve profitability. Even if we do achieve profitability, we may not be able to sustain or increase profitability on a quarterly or annual basis.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failure to become and remain profitable may depress the market price of our common stock and could impair our ability to raise capital, expand our business, diversify our product offerings or continue our operations. If we continue to incur losses as we have since our inception, investors may not receive any return on their investment and may lose their entire investment.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will need substantial additional financing to execute our business plan, and if we are unable to raise capital when needed, we could be forced to delay, reduce or terminate our research and development programs, pre-commercialization or commercialization efforts.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have consumed substantial amounts of cash since inception. As in prior periods we expect to continue to spend substantial amounts of cash to continue the preclinical and clinical development of our product candidates. These expenditures will include costs associated with general and administrative costs, facilities costs, research and development, manufacturing, conducting nonclinical experiments and clinical trials, obtaining regulatory approvals and commercialization, should the FDA approve any of our product candidates for sale. We will need to raise substantial additional capital to complete certain of our currently planned preclinical and clinical development programs,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future late-stage clinical trials. If we are able to gain marketing approval for any product candidates that we develop, we will require significant amounts of additional capital in order to launch and commercialize such product candidates. As the outcome of our ongoing research and development activities, including the outcome of future anticipated preclinical studies and clinical trials, is highly uncertain, we cannot reasonably estimate the actual amounts of additional capital necessary to successfully complete the development and commercialization of any product candidate we develop. We do not expect to generate sustainable positive operating cash flows until, and unless, we obtain approval from the FDA and other regulatory authorities and successfully commercialize one or more of our product candidates.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these and other factors, we will need to seek additional capital to meet our future operating plans and requirements, including capital necessary to develop, obtain regulatory approval for, and commercialize fasedienol and our other product candidates, and may seek additional capital in the event there exists favorable market conditions or strategic considerations, even if we believe we have sufficient funds for our current or future operating plans and requirements.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need for additional funding depends on many factors,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number and characteristics of future product candidates we pursue and their development requirements;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scope, progress, results and costs of researching, developing and commercializing our product candidates and any other additional product candidates we may develop and pursue in the future;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timing of, and the costs involved in, obtaining marketing approvals for our product candidates and any other additional product candidates we may develop and pursue in the future;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subject to receipt of regulatory approval, revenue, if any, received from commercial sales of our product candidates or any other additional product candidates we may develop and pursue in the future;</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cost of formulating and manufacturing our product candidates, and our reliance on third-party CDMOs to do so;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extent to which we establish and maintain strategic partnerships, licensing or other collaborative arrangements necessary for the development and commercialization of our product candidates, on favorable financial terms, if at all;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subject to regulatory approval, market acceptance of our product candidates;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headcount growth and associated costs as we expand our research and development, market development, pre-commercial and commercialization activities;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costs of preparing, filing and prosecuting patent applications, maintaining and protecting our intellectual property rights, including enforcing and defending intellectual property related claims;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costs of operating as a public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cash, cash equivalents, and marketable securities of $77.2 million. As of November 13, 2025, the issuance date of the condensed consolidated financial statements as of and for the three and six months ended September 30, 2025, there is uncertainty about whether the Company’s combined cash, cash equivalents, and marketable securities will be sufficient to fund operations beyond twelve months from the issuance date of these condensed consolidated financial statements and therefore the Company concluded that substantial doubt existed about the Company’s ability to continue as a going concern.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any future financing may adversely affect the holdings or the rights of our stockholders and the issuance of additional securities, whether equity or debt, by us, or the possibility of such issuance, may cause the market price of our shares to decline. For example,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When necessary, if we are unable to obtain additional funding on a timely basis and on acceptable terms, we may be required to significantly curtail, delay or terminate one or more of our research or product development programs, our pre-commercialization efforts or be unable to continue or expand our operations or otherwise capitalize on our business opportunities, as desired, which could materially affect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Currently, we are developing or have development plans in place for the five clinical-stage pherine product candidates currently in our neuroscience pipeline. We seek to maintain a process of prioritization and optimal capital allocation to maintain an appropriate balance between the development of our most advanced product candidates and indications and ensuring the development of additional potential product candidates and indications, on our own or with strategic collaborators.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psychiatric and neurological disorders,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disorders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Raising additional capital may cause substantial dilution to our stockholders, restrict our operations or require us to relinquish significant rights to our technologies or product candidates.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common stock, convertible securities or other equity securities, the ownership interest of our stockholders may be substantially diluted, and the terms of these securities could include liquidation or other preferences and anti-dilution protections that could adversely affect the rights of our common stockholders. In addition, royalty-based financing or debt financing, if available, may result in our relinquishing significant rights to valuable future revenue streams or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team and may divert a disproportionate amount of our attention away from day-to-day activities, which may adversely affect our management team’s ability to oversee the development and commercialization of our product candidates, if approved.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raise additional capital through collaborations, strategic alliances or marketing, distribution or licensing arrangements, or royalty-based financings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research, product development or future commercialization efforts, grant rights to develop and market product candidates that we would otherwise prefer to develop and market ourselves, obtain capital through arrangement with collaborators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terms unfavorable to us or pursue other strategies, all of which could adversely affect the holdings or the rights of our stockholders.</w:t>
      </w:r>
    </w:p>
    <w:p>
      <w:pPr>
        <w:pStyle w:val="TextBody"/>
        <w:bidi w:val="0"/>
        <w:spacing w:lineRule="auto" w:line="268" w:before="200" w:after="283"/>
        <w:jc w:val="both"/>
        <w:rPr>
          <w:rFonts w:ascii="Times New Roman;serif" w:hAnsi="Times New Roman;serif"/>
          <w:b/>
          <w:color w:val="000000"/>
          <w:sz w:val="20"/>
        </w:rPr>
      </w:pPr>
      <w:r>
        <w:rPr>
          <w:rFonts w:ascii="Times New Roman;serif" w:hAnsi="Times New Roman;serif"/>
          <w:b/>
          <w:color w:val="000000"/>
          <w:sz w:val="20"/>
        </w:rPr>
        <w:t>Risks Related to Product Development, Regulatory Approval</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regulatory approval processes of the FDA and comparable foreign regulatory authorities are lengthy, time-consuming and inherently unpredictable, and if we are ultimately unable to obtain regulatory approval for our product candidates, our business will be substantially harmed.</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We are not permitted to commercialize, market, promote or sell any product candidate in the U.S.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and such factors may vary among jurisdictions. For instance, jurisdictions outside of the U.S., such as China, the European Union (</w:t>
      </w:r>
      <w:r>
        <w:rPr>
          <w:rFonts w:ascii="Times New Roman;serif" w:hAnsi="Times New Roman;serif"/>
          <w:b w:val="false"/>
          <w:i/>
          <w:color w:val="000000"/>
          <w:sz w:val="20"/>
        </w:rPr>
        <w:t>EU</w:t>
      </w:r>
      <w:r>
        <w:rPr>
          <w:rFonts w:ascii="Times New Roman;serif" w:hAnsi="Times New Roman;serif"/>
          <w:b w:val="false"/>
          <w:color w:val="000000"/>
          <w:sz w:val="20"/>
        </w:rPr>
        <w:t>) or Japan, may have different requirements for regulatory approval, which may require us to conduct additional clinical, nonclinical or chemistry, manufacturing and control studies. In addition, approval policies, regulations, or the type and amount of clinical data necessary to gain approval may change during the course of a product candidate’s clinical development. To date, we have not submitted a NDA to the FDA or similar drug approval submissions to comparable foreign regulatory authorities for any product candidate. We must complete additional preclinical studies and clinical trials to demonstrate the safety and efficacy of our product candidates in humans before we will be able to seek or obtain these approvals.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Nonclinical studies and clinical trials are expensive, difficult to design and implement, can take many years to complete and are inherently uncertain as to outcome. We cannot guarantee that any nonclinical studies or clinical trials will be conducted as planned or completed on schedule, if at all. The clinical development of our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throughout the required phase of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lengthy approval process, as well as the unpredictability of nonclinical studies and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FDA or comparable foreign regulatory authorities may disagree with our regulatory plan for the development and potential approval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obtain FDA approval of our product candidates, we must, among other things, demonstrate substantial evidence of the effectiveness of such product candidates. FDA has generally considered this demonstration of substantial evidence of the effectiveness to require data gathered from at least two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or provide feedback to suggest that we conduct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nonclinical studies or clinical trials prior to granting any regulatory approval. In addition, there is no assurance that the doses, dosing strategy, endpoints and trial designs that we use for our clinical trials, including trials developed based on feedback from the FDA or other regulatory agencies or those that have been used for the approval of similar drugs, will be acceptable for future approvals. For example, while we have designed the PALISADE Phase 3 public speaking challenge studies in our U.S. registration-directed PALISADE program for fasedienol for the acute treatment of SAD using a public speaking challenge with SUDS as the primary endpoint based on FDA communications, the FDA has also communicated that additional studies or data are needed to support approval. For example, the Repeat Dose Study was designed to incorporate FDA feedback to evaluate the effect of repeat dosing of fasedienol, potential dosing interval for repeat dose, as well as potential dose response and duration of effect, but the FDA may ultimately determine that the study or its results are not adequate to support approval. Moreover, we plan to generate additional evidence recommended by the FDA to further characterize the clinical meaningfulness of the duration and magnitude of effect of fasedienol, but there can be no assurance that the design of our completed, ongoing and/or planned clinical trials or other activities to address FDA feedback on the development program will be satisfactory to the FDA or that the FDA will not require us to modify our trials or conduct additional clinical trials, generate additional information, or that completing these trials and other activities will result in regulatory approval, particularly given that the FDA has not granted regulatory approval to a drug on the basis of SUDS as a primary endpoint. Even if our ongoing and/or future clinical trials achieve their primary efficacy endpoint, there can be no assurance that the FDA will find them sufficient to support approval. Moreover, there are limited precedents for trial design, trial endpoints and regulatory pathway for the acute treatment of SAD and certain other therapeutic indications we are pursuing through the development of our product candidates, including fasedienol for the acute treatment of SAD, itruvone for the treatment of MDD and PH80 for the management of VMS (hot flashes) associated with menopause, which may make clinical development and regulatory approval for those product candidates more challenging.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clinical trial results may not support approval of our product candidates. In addition, our product candidates could fail to receive regulatory approval, or regulatory approval could be delayed, for many reasons, including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disagree as to the design or implementation of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not file or accept our NDA or marketing application for substantive review;</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other equivalent non-U.S. regulatory authorities may find the chemistry, manufacturing and controls, or data insufficient to support the quality of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disagree with the dosing regimen, design or implementation of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unable to demonstrate to the satisfaction of the FDA or comparable foreign regulatory authorities that our product candidates are safe and effective for any of their proposed indications;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results of our clinical trials may not meet the level of statistical significance required by the FDA or comparable foreign regulatory authorities for approval;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unable to demonstrate that our product candidates’ clinical and other benefits outweigh their safety risks;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disagree with our interpretation of data from our preclinical studies or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data collected from clinical trials of our product candidates may not be sufficient to the satisfaction of the FDA or comparable foreign regulatory authorities to support the submission of a NDA or other comparable submission in foreign jurisdictions or to obtain regulatory approval in the U.S. or elsewhere;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find deficiencies with or fail to approve the manufacturing processes or facilities of third-party manufacturers with which we contract for clinical and commercial supplies;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are dependent on third parties having accurately generated, collected, interpreted and reported data from certain preclinical studies and clinical trials that were previously conducted for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acquired our pherine product candidates from Pherin, now our wholly-owned subsidiary, and Pherin undertook research and development of such product candidates prior to our acquisitions. We had no involvement with or control over the preclinical and clinical development of our pherine product candidates prior to acquiring or licensing them from Pherin. Therefore, we are dependent, in part, on Pherin’s prior research and development efforts in accordance with the applicable protocols, legal and regulatory requirements, and scientific standards utilized by them; having accurately reported the results of all preclinical studies and clinical trials conducted with respect to such product candidates and having correctly collected and interpreted the data from these studies and trials. These risks also apply to any product candidates that we may acquire or in-license in the future, if any. If these activities were not compliant, accurate or correct, the clinical development, regulatory approval or commercialization of our pherine product candidates will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our clinical trials fail to replicate results from earlier preclinical studies or clinical trials conducted by us or third parties, we may be unable to successfully develop, obtain regulatory approval for or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results observed from earlier preclinical studies or early-stage clinical trials of our product candidates, including positive results, may not necessarily be predictive of the results of ongoing or future clinical trials. Furthermore, our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there is a high failure rate for drugs candidate proceeding through clinical trials and there can be no assurance that any of our clinical trials will ultimately be successful. We, and many other companies in the pharmaceutical and biotechnology industries, have suffered significant setbacks in late-stage clinical trials after achieving positive results in earlier-stage development, such as the failure of our PALISADE-1 Phase 3 clinical trial of fasedienol to meet its primary endpoint, and we cannot be certain that we will not face similar setbacks in the future. In addition to the risk of ongoing or planned clinical trials failing to meet primary endpoints, setbacks may also be caused by, among other things, preclinical findings made while clinical trials were underway or safety or efficacy observations made in preclinical studies and clinical trials, including previously unreported adverse events. Such failures or setback may have a material adverse effect on our ability to develop, obtain regulatory approval for or ultimately commercialize any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incur unexpected costs or experience material delays in completing, or ultimately be unable to complete, the contract manufacturing, nonclinical and clinical development and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obtain the requisite regulatory approvals to commercialize any of our product candidates, we must demonstrate through extensive nonclinical studies and clinical trials that our product candidates are safe and effective in humans. We have experienced, and may further experience delays in completing our contract manufacturing, clinical trials or nonclinical studies and initiating or completing additional clinical trials or nonclinical studies, including as a result of regulators not allowing or delay in allowing clinical trials to proceed under an IND or similar approval we need to initiate a clinical trial. We may also experience numerous unforeseen events during our clinical trials that could delay or prevent our ability to receive marketing approval or commercialize the product candidates we develop,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regulators, institutional review boards (</w:t>
      </w:r>
      <w:r>
        <w:rPr>
          <w:rFonts w:ascii="Times New Roman;serif" w:hAnsi="Times New Roman;serif"/>
          <w:b w:val="false"/>
          <w:i/>
          <w:color w:val="000000"/>
          <w:sz w:val="20"/>
        </w:rPr>
        <w:t>IRBs</w:t>
      </w:r>
      <w:r>
        <w:rPr>
          <w:rFonts w:ascii="Times New Roman;serif" w:hAnsi="Times New Roman;serif"/>
          <w:b w:val="false"/>
          <w:color w:val="000000"/>
          <w:sz w:val="20"/>
        </w:rPr>
        <w:t>), or other reviewing bodies such as ethics committees may not authorize us or our investigators to commence a clinical trial, or to conduct or continue a clinical trial at a prospective or specific trial site;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not reach agreement on acceptable terms with prospective CROs and clinical trial sites, the terms of which can be subject to extensive negotiation and may vary significantly among different CROs and trial sites;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experience further challenges or delays in recruiting principal investigators or study sites to lead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number of subjects or patients required for clinical trials of our product candidates may be larger than we anticipate, enrollment in these clinical trials may be insufficient or materially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third-party contractors, including contract development and manufacturing organizations (</w:t>
      </w:r>
      <w:r>
        <w:rPr>
          <w:rFonts w:ascii="Times New Roman;serif" w:hAnsi="Times New Roman;serif"/>
          <w:b w:val="false"/>
          <w:i/>
          <w:color w:val="000000"/>
          <w:sz w:val="20"/>
        </w:rPr>
        <w:t>CDMOs</w:t>
      </w:r>
      <w:r>
        <w:rPr>
          <w:rFonts w:ascii="Times New Roman;serif" w:hAnsi="Times New Roman;serif"/>
          <w:b w:val="false"/>
          <w:color w:val="000000"/>
          <w:sz w:val="20"/>
        </w:rPr>
        <w:t>), CROs, clinical research sites or other third-parties acting on our behalf or in connection with our studies, may fail to comply with regulatory requirements or meet their contractual obligations to us in a timely manner, or at all;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potential for approval policies or regulations of the FDA or the applicable foreign regulatory agencies to significantly change in a manner rendering our clinical data insufficient for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efficacy and safety results adequate to obtain regulatory approval to market our product candidates for the indications that we are pursuing. If later-stage clinical trials do not produce favorable results, our ability to obtain regulatory approval for and commercialize our product candidates will be adversely impacted.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failure to successfully initiate and complete required nonclinical studies and clinical trials and to demonstrate the efficacy and safety necessary to obtain regulatory approval to market our product candidates would significantly harm our business. Our product candidate development costs will also increase substantially if we experience delays in testing or regulatory approvals and we may be required to obtain additional funds to complete necessary nonclinical studies or clinical trials. We cannot assure you that our nonclinical studies or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nonclinical studies or clinical trials may ultimately lead to the denial of regulatory approval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clinical development activities could be materially delayed or otherwise adversely affected by difficulties enrolling and randomizing patients in our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and may continue to experience difficulties in patient enrollment and randomization in our clinical trials for a variety of reasons, including the stringent entry criteria for our clinical trials. The timely completion of clinical trials requiring rigorous adherence to clinical trial protocols depends, among other things, on our ability to enroll and randomize a sufficient number of patients who qualify for and remain in the trial until its conclusion.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Patient enrollment and randomization is affected by many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size and nature of the patient population required for analysis of the trial’s primary endpoints;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severity of the disease or condition under investigation;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proximity of patients to trial sites;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design of the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recruit, train and retain clinical trial investigators and clinical research site staff with the appropriate competencies and experience through the duration of the trial;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competing clinical trials and clinicians’ and patients’ perceptions as to the potential advantages and risks of the product candidate being studied in relation to other available therapies, including any drugs that may be approved for the indications that we are investigating;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patient recruitment or referral practices of centralized recruiting firms, clinical trial sites and physicians;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ability to monitor patients adequately during and after treatment in the trial;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obtain and maintain patient consents;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risk that patients enrolled in our clinical trials will drop out of the trials before completion.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experience challenges in recruiting principal investigators and patients to participate in ongoing and future clinical trials for our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that are related to or deemed to be caused by any of our product candidates, we may have difficulty recruiting patients to our trials and patients may drop out of our trials. Finally, business disruptions, including those relating to natural disasters (including as a result of climate change), geopolitical incidents, pandemics or macroeconomic conditions, may disrupt our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inability to enroll and randomize a sufficient number of patients for our clinical trials would result in significant delays or might require us to abandon one or more clinical trials or our development efforts altogether. Material delays in patient enrollment and randomization may result in increased costs, affect the timing or outcome of ongoing or planned clinical trials and the public disclosure of trial results, product candidate development and approval process and jeopardize our ability to raise additional capital and seek and obtain the regulatory approval required to commence product sales and generate revenue, which could prevent completion of these trials, adversely affect our ability to advance the development of our product candidates, cause the value of the Company to decline and limit our ability to obtain additional financing if needed.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product candidates proceed through preclinical studies and clinical development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or comparable foreign regulatory authorities' notification or approval. This could delay or prevent completion of clinical development, require conducting bridging clinical trials or the repetition of one or more clinical trials, increase clinical trial costs, delay or prevent approval of our product candidates and jeopardize our ability to commence sales and generate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we complete the necessary preclinical studies and clinical trials, the marketing approval process is expensive, time-consuming and uncertain and may prevent us from obtaining approvals for the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U.S. and by comparable authorities in other countries. Failure to obtain marketing approval for a product candidate will prevent us from commercializing the product candidate in a given jurisdiction. We have not received approval to market any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candidates from regulatory authorities in any jurisdiction and it is possible that none of the product candidates we are developing or may seek to develop in the future will ever obtain regulatory approval.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 experience in submitting and supporting the applications necessary to gain marketing approvals and expect to rely on third-party CROs and regulatory consultants to augment our internal personnel and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extensive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process of obtaining marketing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personnel and review processes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experience delays in obtaining approval or if we fail to obtain approval of any product candidates we may develop, the commercial prospects for those product candidates may be harmed, and our ability to generate revenues will be materially impaired.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Interim, topline and preliminary data from our nonclinical studies or clinical trials that we may announce or publish from time to time may change as more patient data becomes available and are subject to audit and verification procedures that could result in material changes in the final data.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publish or publicly disclose interim, topline or preliminary data from our nonclinical studies or clinical trials. These publications or disclosures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Further, disclosure of such data by us or by our competitors could result in volatility in the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information we choose to publicly disclose regarding a particular study or clinical trial is based on what is typically extensive information, if we publicly disclose certain information, you or others may not agree with what we determine is material or otherwise appropriate information to include in our disclosure, and any information we determine not to disclose may ultimately be deemed significant with respect to future decisions, conclusions, strategies, views, activities or otherwise regarding a particular product candidate or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do not achieve our projected development and commercialization goals in the timeframes we announce and expect, the development and commercialization of our product candidates may be delayed, and our business and results of operations may be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planning purposes, we sometimes estimate the timing of the accomplishment of various scientific, clinical, regulatory and other product development activities or objectives. These milestones may include our expectations regarding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commencement or completion of scientific studies and clinical trials, the submission of regulatory filings, the timing of regulatory review or approvals, or initiation of commercialization activities or objectives. From time to time, we may publicly announce the expected timing of some of these milestones, such as the completion of an ongoing clinical trial of a product candidate,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available capital resources or capital constraints we experience;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rate of progress, costs and results of our clinical trials and research and development activities, including the extent of scheduling conflicts with participating clinicians, collaborators and trial participants;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identify, enroll and randomize patients who meet clinical trial eligibility criteria;</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receipt of approvals by the FDA and other regulatory authorities and the timing thereof;</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 actions, decisions or rules issued by regulators;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access sufficient, reliable and affordable supplies of materials used to manufacture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efforts of our collaborators with respect to the development and commercialization of our product candidates;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securing of costs related to, and timing issues associated with, product manufacturing as well as sales and marketing activities.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fail to achieve announced milestones in the timeframes we expect, the development and commercialization of our product candidates may be delayed, and our business and results of operations may be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depend heavily on the success of one or more of our current product candidates and we cannot be certain that we will be able to obtain regulatory approval for or commercialize any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not permitted to market our product candidates in the U.S. until we receive approval of a NDA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FDA advisory committee may recommend, or the FDA may require, a Risk Evaluation and Mitigation Strategies (</w:t>
      </w:r>
      <w:r>
        <w:rPr>
          <w:rFonts w:ascii="Times New Roman;serif" w:hAnsi="Times New Roman;serif"/>
          <w:b w:val="false"/>
          <w:i/>
          <w:color w:val="000000"/>
          <w:sz w:val="20"/>
        </w:rPr>
        <w:t>REMS</w:t>
      </w:r>
      <w:r>
        <w:rPr>
          <w:rFonts w:ascii="Times New Roman;serif" w:hAnsi="Times New Roman;serif"/>
          <w:b w:val="false"/>
          <w:color w:val="000000"/>
          <w:sz w:val="20"/>
        </w:rPr>
        <w:t>) safety program as a condition of approval or post-approval;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FDA advisory committee or the FDA or applicable regulatory agency may determine that there is insufficient evidence of overall effectiveness or safety in a NDA and require additional clinical studies or other information;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the applicable foreign regulatory agency may determine that the manufacturing processes or facilities of third-party contract manufacturers with which we contract do not conform to applicable requirements, including cGMPs; or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applicable foreign regulatory agency may change its approval policies or adopt new regulations.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factors, many of which are beyond our control, could jeopardize our ability to obtain regulatory approval for and commercialize any current or future drug product candidate we may develop. Any such setback in our pursuit of regulatory approval for any product candidate would have a material adverse effect on our business and prospects.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all of our pherine product candidates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As drug-device combination candidates, each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regulations applicable to medical devices. Problems associated with the device component of the combination product candidate may delay or prevent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Undesirable side effects caused by any of our product candidates could cause us or regulatory authorities to interrupt, delay or halt clinical trials and could result in a more restrictive label or the delay or denial of regulatory approval by the FDA or comparable foreign regulatory authorities. We may also observe safety or tolerability issues with our product candidates in ongoing or future clinical trials. Many compounds that initially showed promise in clinical or earlier-stage testing are later found to cause undesirable or unexpected side effects that prevent further development of the compound. Results of future clinical trials of our product candidates could reveal a high and unacceptable severity and prevalence of side effects or unexpected characteristics, despite a favorable tolerability profile observed in earlier-stage testing. 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unacceptable side effects arise in the development of our product candidates, specifically those deemed to be caused by or directly related to any of our product candidates, we, the FDA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comparable foreign regulatory authorities could order us to cease clinical trials or deny approval of our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engage in similar actions, such as patient education, certification of health care professionals or specific monitoring, if we or others later identify undesirable side effects caused by any product. Other potentially significant negative consequences associated with adverse events include: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required to suspend marketing of a product, or we may decide to remove such product from the marketplace;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regulatory authorities may withdraw or modify their approvals of our product;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required to conduct post-marketing studies;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required to change the way our product is administered;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could be subject to fines, injunctions, or the imposition of criminal or civil penalties, or be sued and held liable for harm caused to subjects or patients;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product may become less competitive,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reputation may suffer.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any of our product candidates are ultimately regulated as controlled substances, we, our CDMOs,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Before we can commercialize our product candidates in the U.S. or any market outside the U.S., the U.S. Drug Enforcement Administration (</w:t>
      </w:r>
      <w:r>
        <w:rPr>
          <w:rFonts w:ascii="Times New Roman;serif" w:hAnsi="Times New Roman;serif"/>
          <w:b w:val="false"/>
          <w:i/>
          <w:color w:val="000000"/>
          <w:sz w:val="20"/>
        </w:rPr>
        <w:t>DEA</w:t>
      </w:r>
      <w:r>
        <w:rPr>
          <w:rFonts w:ascii="Times New Roman;serif" w:hAnsi="Times New Roman;serif"/>
          <w:b w:val="false"/>
          <w:color w:val="000000"/>
          <w:sz w:val="20"/>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candidates to be controlled substances, we cannot yet give any assurance that such product candidates will not be regulated as controlled substances.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are regulated as controlled substances, depending on the DEA controlled substance schedule in which the product candidates are placed or that of its foreign counterpart, we, our CDMOs, and any future distributors,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CDMOs would be subject to initial and periodic DEA inspection. If we or our CDMOs are not able to obtain or maintain any necessary DEA registrations or comparable foreign registrations, we may not be able to commercialize any product candidates that are deemed to be controlled substances or we may need to find alternative CDMOs, which would take time and cause us to incur additional costs, delaying or limiting our commercialization efforts.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have concentrated a significant portion of our research and development efforts on the treatment of neuropsychiatric and neurological disorders, a field that faces certain challenges in drug development.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focused a significant portion of our research and development efforts on addressing neuropsychiatric and neurological disorders. Efforts by pharmaceutical companies in this field have faced certain challenges in drug development. In particular, many neuropsychiatric disorders such as SAD and MDD rely on subjective assessments by clinicians and subjective patient-reported outcomes as key efficacy endpoints. This makes them more difficult to evaluate than indications with more objective endpoints. Furthermore, these indications are often subject to a placebo effect, which may make it more challenging to isolate the beneficial effects of our neuropsychiatric product candidates. There can be no guarantee that we will successfully overcome these challenges with our neuropsychiatric product candidates or that we will not encounter other challenges in the development of our other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Certain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any,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Efforts to educate the medical community and third-party payors on the benefits of our product candidates may require significant resources, including management time and financial resources, and may not be successful. For example, even if fasedienol ultimately receives regulatory approval, we may have difficulty in convincing the medical community that fasedienol has the potential to deliver promising therapeutic benefits above and beyond antidepressants.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efficacy and safety of the product;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potential advantages of the product compared to any competitive therapies;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prevalence and severity of any side effects;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whether the product is designated under physician treatment guidelines as a first-, second- or third-line therapy;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or the ability of any future collaborators, to offer the product for sale at competitive prices;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product’s convenience and ease of administration compared to alternative treatments;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willingness of the target patient population to try, and of physicians to prescribe, the product;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limitations or warnings, including distribution or use restrictions contained in the product’s approved labeling;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strength of sales, marketing and distribution support;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standard of care for the targeted indications for the product;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availability and adequacy of coverage and reimbursement from government payors, managed care plans and other third-party payors.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failure by one or more of our product candidates that obtains regulatory approval to achieve market acceptance or commercial success would adversely affect our business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develop and commercialize other product candidates, we may be unable to grow our business and our ability to achieve our strategic objectives would be impaired.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development and commercialization of our most advanced pherine product candidate, fasedienol, is currently our primary focus, as part of our longer-term growth strategy, we plan to develop other of our clinical stage pherine product candidates. We intend to evaluate internal opportunities from our existing pherine pipeline,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manufacturing, preclinical studies,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intend to devote substantial capital and resources for basic research to discover and identify additional pherine product candidates. These research programs require substantial technical, financial and human resources, whether or not any product candidates are ultimately identified. Our research programs may initially show promise in identifying potential pherine product candidates, yet fail to yield product candidates for clinical development for many reasons, including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research methodology used may not be successful in identifying potential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competitors may develop alternatives that render our product candidates obsolete;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 candidates that we develop may nevertheless be covered by third parties’ patents or other exclusive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product candidate may, on further study, be shown to have harmful side effects or other characteristics that indicate it is unlikely to be effective or otherwise does not meet applicable regulatory criteria;</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product candidate may not be capable of being produced in commercial quantities at an acceptable cost, or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product candidate may not be accepted as safe and effective by patients, the medical community or third-party payors.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should we seek to acquire additional product candidates, future acquisitions may entail numerous operational and financial risks,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exposure to unknown liabilities;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disruption of our business and diversion of management’s time and attention to develop acquired products or technologies;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incurrence of substantial debt, dilutive issuances of securities or depletion of cash to pay for acquisitions;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higher than expected acquisition and integration costs;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difficulty in combining the operations and personnel of any acquired businesses with our operations and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increased amortization expenses;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impairment of relationships with key suppliers or customers of any acquired businesses due to changes in management and ownership;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inability to motivate key employees of any acquired businesses.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are unsuccessful in identifying and developing additional product candidates, either through internal development or licensing or acquisition from third parties, our potential for growth and achieving our strategic objectives may be impaired.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The number of patients with the neuroscience disorders for which we are developing our product candidates has not been established with precision. If the actual number of patients with the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approved, the markets for our products may be smaller than we expect and our revenue potential and ability to achieve profitability may be materially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neuroscience pipeline includes product candidates for a variety of conditions and disorders. There is no precise method of establishing the actual number of patients with any of these conditions and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among others, our estimates as to the prevalence of SAD, MDD and vasomotor symptoms (hot flashes) due to menopause,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and other disease indications may, however, be significantly lower than we believe. Even if our prevalence estimates are correct, our product candidates may be developed for only a subset of patients with the relevant disease or disorder or our products,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revenues and our ability to achieve profitability or to meet our expectations with respect to revenues or profits.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Competitive products may reduce or eliminate the commercial opportunity for our product candidates, if approved. If our competitors develop technologies or product candidates more rapidly than we do, or their technologies or product candidates are more effective and/or safer than ours, our ability to develop and successfully commercialize our product candidates may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clinical and commercial landscapes for the treatment of neuroscience disorders, including those we are pursuing,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a significant number of product candidates are currently under development for certain of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entitled “Competition” in our Annual Report on Form 10-K for the fiscal year ended March 31, 2025, as filed with the SEC on June 17, 2025, for examples of the competition that our product candidates face.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are unable to develop our sales, marketing and distribution capability on our own or through collaborations with marketing partners, we will not be successful in commercializing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have no marketing, sales or distribution capabilities. We intend to establish a sales and marketing capabilities,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Factors that may inhibit our efforts to commercialize our product candidates on our own include: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lack of sufficient capital resources available to us in a timely manner, if at all, and on commercially reasonable terms;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inability to recruit and retain adequate numbers of effective sales and marketing leadership and sales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inability of sales personnel to obtain access to or persuade adequate numbers of physicians to prescribe any future products;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lack of complementary products to be offered by sales personnel, which may put us at a competitive disadvantage relative to companies with more extensive product lines;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unforeseen costs and expenses associated with creating an independent sales and marketing organization.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our existing and future product candidates, we may choose to collaborate with third parties that have direct sales forces and established distribution systems to serve as an alternative to building or to augment our own sales force and distribution systems. In that case, our future product revenue would be lower than if we directly marketed or sold our product candidates, if approved, on our own.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do not establish sales and marketing capabilities successfully, either on our own or in collaboration with third parties, we will not be successful in commercializing our product candidates.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Product liability lawsuits against us or any of our future collaborators could divert our resources and attention, cause us to incur substantial liabilities and limit commercialization of our product candidates.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 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decreased demand for any of our future approved products;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injury to our reputation;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withdrawal of clinical trial participants;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termination of clinical trial sites or entire trial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significant litigation costs;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substantial monetary awards to, or costly settlements with, patients or other claimants;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 recalls or a change in the indications for which they may be used;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loss of revenue;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diversion of management and scientific resources from our business operations;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inability to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Cyberattacks or other failures in our telecommunications or information technology systems, or those of our collaborators, CDMOs, CROs, third-party logistics providers, distributors or other contractors or consultants, could result in information theft, data corruption and significant disruption of our business operations.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We, along with our collaborators, CDMOs, CROs, third-party logistics providers, distributors and other contractors and consultants, utilize information technology (</w:t>
      </w:r>
      <w:r>
        <w:rPr>
          <w:rFonts w:ascii="Times New Roman;serif" w:hAnsi="Times New Roman;serif"/>
          <w:b w:val="false"/>
          <w:i/>
          <w:color w:val="000000"/>
          <w:sz w:val="20"/>
        </w:rPr>
        <w:t>IT</w:t>
      </w:r>
      <w:r>
        <w:rPr>
          <w:rFonts w:ascii="Times New Roman;serif" w:hAnsi="Times New Roman;serif"/>
          <w:b w:val="false"/>
          <w:color w:val="000000"/>
          <w:sz w:val="20"/>
        </w:rPr>
        <w:t xml:space="preserve">) systems and networks to process, transmit and store electronic information, including confidential information such as proprietary business information and personal information of our employees and contractors, in connection with our business activities. As use of digital technologies has increased, our IT systems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those of our third-party service providers, strategic partners and other contractors or consultants are increasingly vulnerable to attack, damage and interruption from cyber incidents, including third parties gaining access to employee accounts using stolen or inferred credentials, computer malware (e.g., ransomware), viruses, malicious code, spamming, phishing attacks and other social engineering schemes, employee theft or misuse, human error, fraud, denial or degradation of service attacks, sophisticated nation-state and nation-state-supported actors, natural disasters, terrorism, war, telecommunication and electrical failures or other threats. Deliberate attacks and attempts to gain unauthorized access to computer systems and networks, have increased in frequency and sophistication. These threats pose a risk to the security of our, our collaborators’, CROs’, third-party logistics providers’, distributors’ and other contractors’ and consultants’ systems and networks, and the confidentiality, availability and integrity of our data. We may not be successful in preventing or identifying cyberattacks and may experience security breaches that may remain undetected for an extended period. Even if identified, we may be unable to adequately investigate or successfully mitigate their effects due to attackers increasingly using tools and techniques that are designed to circumvent controls, to avoid detection, and to remove or obfuscate forensic evidence. Like other companies, we have on occasion experienced, and will continue to experience, threats to our data and systems, including malicious codes and viruses, phishing, business email compromise attacks or other cyberattacks. Similarly, our collaborators, CROs, third-party logistics providers, distributors and other contractors and consultants may not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which could have a material adverse effect on our business and prospects. For example, the loss of clinical trial data from completed or ongoing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seek to establish collaborations, and, if we are not able to establish them on commercially reasonable terms, we may have to alter our development and commercialization plans.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drug development programs and the potential commercialization of our product candidates will require substantial additional cash to fund expenses. We may decide to collaborate with pharmaceutical and biotechnology companies for the development and potential commercialization of those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derive revenue from research and development fees, license fees, milestone payments and royalties under any collaborative arrangement into which we enter.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negotiate additional collaborations on a timely basis, on acceptable terms, or at all. If we are unable to do so, we may have to curtail the development of the product candidate for which we are seeking to collaborate,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any future collaboration that we enter into may not be successful. The success of our current and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future growth may depend, in part, on our ability to penetrate markets outside of the U.S., where we would be subject to additional regulatory burdens and other risks and uncertainties.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profitability may depend, in part, on our ability to develop and commercialize our product candidates with third-party collaborators in markets outside of the U.S. If we develop and commercialize our product candidates in markets outside of the U.S., we would be subject to additional risks and uncertainties,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customers’ ability to obtain reimbursement for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inability to directly control commercial activities because we are relying on third parties;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burden of complying with complex and changing foreign regulatory, tax, accounting and legal requirements;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different medical practices and customs in foreign countries affecting acceptance in the marketplace;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import or export licensing requirements;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longer accounts receivable collection times;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longer lead times for shipping;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language barriers for technical training;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reduced protection of intellectual property rights, different standards of patentability and different availability of prior art in some foreign countries as compared with the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existence of additional potentially relevant third-party intellectual property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foreign currency exchange rate fluctuations;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interpretation of contractual provisions governed by foreign laws in the event of a contract dispute.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Sales of our product candidates outside of the U.S. could also be adversely affected by the imposition of governmental controls, political and economic instability, trade restrictions and changes in tariffs.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Managing Our Business and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depend heavily on our senior managerial personnel, third-party consultants and others and our ability to compete in the biopharmaceutical industry depends upon our ability to retain such highly qualified personnel. The loss of their services or our inability to hire such personnel could materially harm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depends, and will likely continue to depend, upon our ability to attract and retain the services of our executive officers, senior managerial and other senior personnel within our organization. Our executive officers and other senior employees may terminate their employment with us at any time. The loss of their services might impede the achievement of our operational and strategic objectives.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our ability to compete in the biopharmaceutical industry depends upon our ability to attract and retain highly qualified managerial, scientific, medical, regulatory and technical personnel. In particular, we will need to retain and, in some cases, hire, qualified personnel with expertise in clinical development and operations, preclinical research and development, manufacturing, quality management, medical and regulatory affairs, finance and accounting and other areas in connection with the continued development and commercialization of our product candidates. We currently rely, and for the foreseeable future will continue to rely, on third-party consultants and advisors, including scientific and clinical advisors, to assist us in formulating certain of our research and development objectives and activities as well as the development of certain of our commercialization strategies.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and the culture fit to be a leader in our organization. Competition to hire from this limited pool is intense, and we may be unable to hire, train, retain or motivate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Further, inflationary pressure may increase our costs, including employee compensation costs or result in employee attrition to the extent our compensation does not keep up with inflation, particularly if our competitors’ compensation does.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services of third-party consultants and advisors will continue to be available to us on a timely basis when needed, that we will be able to manage our existing consultants and advisors or that we can find qualified replacements on economically reasonable terms, or at all. Our consultants and advisors may be employed by other entities and may have commitments under consulting or advisory contracts with those entities that may limit their availability to us. If we are unable to continue to attract and retain highly qualified consultants and advisors, our ability to develop and commercialize our product candidates will be limited.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not be able to hire and/or retain a sufficient number of employees or employees with the required expertise to develop our product candidates or operate our business successfully.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59 full-time employees. Our focus on the development of our lead product candidates requires us to optimize cash utilization and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 If we are not able to effectively expand our organization by hiring new qualified employees, our clinical trials may be delayed or terminated, we may not be able to successfully execute the tasks necessary to further develop and commercialize our product candidates and, accordingly, may not achieve our development and commercialization goals.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employees, independent contractors, consultants, collaborators, CDMOs and CROs may engage in misconduct or other improper activities, including non-compliance with regulatory standards and requirements, which could cause significant liability for us and harm our reputation.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consultants, collaborators, CDMOs and CROs may engage in fraudulent conduct or other illegal activity.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Misconduct by those parties could include intentional, reckless and/or negligent conduct or disclosure of unauthorized activities that violates: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study and trial protocols or the FDA regulations or similar regulations of comparable non-U.S. regulatory authorities, including those laws requiring the reporting of true, complete and accurate information to such authorities;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manufacturing standards;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federal and state healthcare fraud and abuse laws and regulations and similar laws and regulations established and enforced by comparable non-U.S. regulatory authorities;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laws that require the reporting of financial information or data accurately.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expect to expand our organization, and as a result, we may encounter difficulties in managing our growth, which could disrupt our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continue to experience significant growth in the number of our employees and the scope of our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their attention to managing these growth activities. Due to our limited financial resources, our limited operating history and the limited experience of our management team in managing a company with such anticipated growth, we may not be able to effectively manage the expansion or any necessary relocation of our operations, retain key employees, or identify, recruit and train additional qualified personnel. Our inability to manage the expansion or any necessary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Unfavorable domestic or global economic or political conditions could adversely affect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either domestic or global political conditions, as well as general conditions in the domestic or global economy and in the U.S. and global financial and stock markets. Domestic and global financial and political crises cause extreme volatility and disruptions in the capital and credit markets. A severe or prolonged government shutdown and/or economic downturn, could result in a variety of risks to our business, including, weakened demand for our product candidates and our ability to raise additional capital when needed on acceptable terms, if at all. A weak or declining domestic or global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natural disasters and our business continuity and disaster recovery plans may not adequately protect us from a serious disaster.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CDMOs, or that otherwise disrupted operations, it may be difficult or, in certain cases, impossible for us to continue our business for a substantial period of time. The disaster recovery and business continuity plan we have in place may prove inadequate in the event of a serious disaster or similar event. We may incur substantial expense as a result of the limited nature of our disaster recovery and business continuity plans, which could have a material adverse effect on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Remote working arrangements could significantly increase our digital and cybersecurity risks.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Current politics in the U.S. could diminish the value of the pharmaceutical industry, thereby diminishing the value of our securities.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political environment in the U.S. is volatile, and recent or future regulatory changes, especially at the FDA, have resulted, and may continue to result, in uncertainty throughout the pharmaceutical industry and, have an adverse effect on our business and the value of our securities. This political and regulatory uncertainty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relied upon and plan to continue to rely on third parties, such as CROs, clinical data management organizations, medical institutions and clinical investigators, to augment our internal personnel in the conduct of our clinical trials and expect to rely on these third parties to augment our efforts to conduct clinical trials of any product candidate that we develop. Our ability to complete clinical trials in a timely fashion depends on a number of key factors. These factors include protocol design, regulatory and IRB or ethics committee approval, patient enrollment rates and compliance with GCPs. In most cases, we use the services of third parties, including CROs, to carry out many of clinical trial-related activities and rely on such parties to accurately report their results. Our reliance on third parties for clinical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activities may impact or limit our control over the timing, conduct, expense and quality of our clinical trials. Moreover, the FDA and certain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Similar requirements may exist in foreign jurisdictions.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We remain responsible for ensuring that each of our trials is conducted in accordance with the applicable protocol, legal and regulatory requirements and scientific standards. Our failure, or the failure of our third-party contract manufacturers, to comply with applicable protocol, legal and regulatory requirements and scientific standards could result in, among other things, rejection of our clinical data, sanctions being imposed on us, including clinical holds, a refusal to file determination by the FDA, receipt of a complete response letter (</w:t>
      </w:r>
      <w:r>
        <w:rPr>
          <w:rFonts w:ascii="Times New Roman;serif" w:hAnsi="Times New Roman;serif"/>
          <w:b w:val="false"/>
          <w:i/>
          <w:color w:val="000000"/>
          <w:sz w:val="20"/>
        </w:rPr>
        <w:t>CRL</w:t>
      </w:r>
      <w:r>
        <w:rPr>
          <w:rFonts w:ascii="Times New Roman;serif" w:hAnsi="Times New Roman;serif"/>
          <w:b w:val="false"/>
          <w:color w:val="000000"/>
          <w:sz w:val="20"/>
        </w:rPr>
        <w:t>),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our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the third parties conducting clinical trials on our behalf are not our employees, and except for remedies available to us under our agreements with such independent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Accordingly, enrollment and randomization of subjects in some of our clinical trials may be slower than expected as a result of these changes in the post-COVID clinical trial landscape.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also rely on third party CDMOs and others to manufacture, store and distribute drug supplies for our clinical trials. Any performance failure on the part of these third-parties could delay clinical development or regulatory approval of our product candidates or commercialization of any resulting products, producing additional losses and depriving us of potential product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of the third-party organizations we utilize may terminate their engagements with us under certain circumstances. The replacement of an existing CRO, manufacturer or other third party may result in the delay of the affected trials or otherwise adversely affect our efforts to obtain regulatory approvals and commercialize our product candidates. Although we believe we have diversified our risk by engaging a number of CROs and other third-party organizations and there are a number of other CROs we could engage to continue these activities, we may not be able to enter into alternative arrangements or do so on commercially reasonable terms or in a timely manner.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use of third party contract manufactures to manufacture our product candidates may increase the risk that we will not have sufficient quantities of our product candidates, raw materials, active pharmaceutical ingredients (APIs) or drug products when needed or at an acceptable cost.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party contract manufacturers.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rely on and engage third-party contract manufacturers to provide all of the API and the final filled and finished drug product formulation of all of our product candidates that are being used in our clinical trials and preclinical studies. Although we believe that there are several potential alternative manufacturers who could manufacture our product candidates, we may incur added costs and delays in identifying and qualifying any such replacement. However, if necessary, we can provide no assurance that we will be able to find an alternative manufacturer on acceptable terms.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third-party contract manufacturers we rely on from time to time may have limited or no experience manufacturing our API and final drug products. If our third-party contract manufacturers have difficulty or suffer delays in successfully manufacturing material that meets our specifications, it may limit supply of our product candidates and could delay our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Even if we are able to establish and maintain arrangements with third-party contract manufacturers, reliance on third-party contract manufacturers entails additional risks,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the third-party manufacturer to comply with applicable regulatory requirements and reliance on third parties for manufacturing process development, regulatory compliance and quality assurance;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manufacturing delays if our third-party manufacturers give greater priority to the supply of other products over our product candidates or otherwise do not satisfactorily perform according to the terms of the agreement between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limitations on supply availability resulting from capacity and scheduling constraints of third parties;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possible breach of manufacturing agreements by third parties because of factors beyond our control;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possible termination or non-renewal of the manufacturing agreements by the third party, at a time that is costly or inconvenient to us;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possible misappropriation of our proprietary information, including our trade secrets and know-how.</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do not maintain our key third-party contract manufacturing relationships, we may fail to find replacement manufacturers or develop our own manufacturing capabilities, which could delay or impair our ability to obtain regulatory approval for our product candidates. If we do find replacement third-party contract manufacturers, we may not be able to enter into agreements with them on terms and conditions favorable to us and there could be a substantial delay before new facilities could be qualified and registered with the FDA and other foreign regulatory authorities.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if any third-party contract manufacturer with whom we contract fails to perform its obligations, we may be forced to manufacture the materials ourselves, for which we do not and may not ever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third-party contract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third-party contract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The delays associated with the verification of a new third-party manufacturer could negatively affect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develop product candidates or commercialize our products in a timely manner or within budget. Furthermore, a third-party contract manufacturer may possess technology related to the manufacture of our product candidate that such third party owns independently. This would increase our reliance on such third-party contract manufacturer or require us to obtain a license from such third-party contract manufacturer in order to have another third party manufacture our product candidates.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our product candidates. Consequently, we may not be able to reach agreement with third-party contract manufacturers on satisfactory terms, which could delay our commercialization.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Some of our third-party contract manufacturers are located outside of the U.S. There is currently significant uncertainty about the future relationship between the U.S. and various other countries, including Canada, China, India, Mexico and the United Kingdom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APIs used in our product candidates, or our business may be adversely impacted by retaliatory trade measures taken by Canada, China, India, Mexico and the United Kingdom or other countries, including restricted access to raw materials we may use in our product candidates. Given the unpredictable regulatory environment in the U.S.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failure, or the failure of our third-party contract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or comparable foreign regulatory authorities in connection with any NDA or other application we may submit. We do not control the manufacturing process of, and are completely dependent on, our contract manufacturing partners for compliance with cGMPs and similar foreign requirements. If our third-party contract manufacturers cannot successfully manufacture material that conforms to our specifications and the strict regulatory requirements of the FDA or others, we may not be able to secure and/or maintain regulatory approval for our product candidates manufactured at these facilities. In addition, we have no control over the ability of our third-party contract manufacturers to maintain adequate quality control, quality assurance and qualified personnel. If the FDA finds deficiencies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Third-party contract manufacturers may face manufacturing or quality control problems causing drug substance production and shipment delays or a situation where the contractor may not be able to maintain compliance with the applicable cGMP requirements. Any failure to comply with cGMP and similar foreign requirements or other FDA and comparable foreign regulatory requirements could adversely affect our clinical research activities and our ability to develop our product candidates and market our products, if approved.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FDA and other foreign regulatory authorities require our third-party contract manufacturers to register manufacturing facilities. The FDA and corresponding foreign regulators also inspect these facilities to confirm compliance with cGMPs and similar foreign requirements.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Failure of any third-party contract manufacturer to comply with cGMP requirements for applicable drug/device combination products could significantly affect supplies of our product candidates.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We expect each of our current clinical-stage pherine product candidates, fasedienol, itruvone, PH15, PH80 and PH284, will be considered drug-device combination products. Third-party contract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Times New Roman;serif" w:hAnsi="Times New Roman;serif"/>
          <w:b w:val="false"/>
          <w:i/>
          <w:color w:val="000000"/>
          <w:sz w:val="20"/>
        </w:rPr>
        <w:t>QSR</w:t>
      </w:r>
      <w:r>
        <w:rPr>
          <w:rFonts w:ascii="Times New Roman;serif" w:hAnsi="Times New Roman;serif"/>
          <w:b w:val="false"/>
          <w:color w:val="000000"/>
          <w:sz w:val="20"/>
        </w:rPr>
        <w:t>) or similar regulatory requirements outside the U.S. Our failure, or the failure of our third-party contract manufacturers, to comply with applicable regulations could result in material adverse effects,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any third-party contract manufacturer of our product candidates is unable to increase the scale of its production of our product candidates or increase the product yield of its manufacturing, then our manufacturing costs may increase and commercialization may be delayed.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produce sufficient quantities to meet the demand for clinical trials and, if approved, subsequent commercialization of our product candidates, our third-party contract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need to maintain licenses for APIs from third parties to develop and commercialize some of our product candidates, which could increase our development costs and delay our ability to commercialize those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Should we decide to use any APIs in any of our product candidates that are proprietary to one or more third parties, we would need to maintain licenses to those APIs from those third parties. If we are unable to gain or continue to access rights to these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In addition, we will be subject to continued compliance with cGMP and similar foreign requirements and GCP requirements for any clinical trials that we conduct post-approval.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Manufacturers and manufacturers’ facilities are required to comply with extensive FDA and comparable foreign regulatory authority requirements, including ensuring that quality control and manufacturing procedures conform to cGMP and similar foreign regulations and applicable product tracking and tracing requirements. As such, we and our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manufacturers will be subject to continual review and inspections to assess compliance with cGMP and similar foreign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restrictions on the marketing or manufacturing of our products, withdrawal of the product from the market or voluntary product recalls;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fines, warning letters or holds on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refusal by the FDA or comparable foreign regulatory authorities to approve pending applications or supplements to approved applications filed by us or suspension or withdrawal of approvals;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 seizure or detention or refusal to permit the import or export of our product candidates;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FDA and certain foreign regulatory authorities strictly regulate marketing, labeling, advertising and promotion of products that are placed on the market. Products may be promoted only for the approved indications and in accordance with the provisions of the approved label.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0"/>
        <w:jc w:val="both"/>
        <w:rPr/>
      </w:pPr>
      <w:r>
        <w:rPr/>
      </w:r>
    </w:p>
    <w:p>
      <w:pPr>
        <w:pStyle w:val="TextBody"/>
        <w:bidi w:val="0"/>
        <w:spacing w:lineRule="auto" w:line="276" w:before="0" w:after="200"/>
        <w:jc w:val="both"/>
        <w:rPr>
          <w:rFonts w:ascii="Times New Roman;serif" w:hAnsi="Times New Roman;serif"/>
          <w:b/>
          <w:i/>
          <w:color w:val="000000"/>
          <w:sz w:val="20"/>
        </w:rPr>
      </w:pPr>
      <w:r>
        <w:rPr>
          <w:rFonts w:ascii="Times New Roman;serif" w:hAnsi="Times New Roman;serif"/>
          <w:b/>
          <w:i/>
          <w:color w:val="000000"/>
          <w:sz w:val="20"/>
        </w:rPr>
        <w:t>While we have in the past and may in the future seek designations for our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FDA and comparable foreign regulatory authorities offer certain designations for product candidates. These programs are designed to encourage the research and development of product candidates that are intended to address serious conditions. These designations may confer benefits such as additional interaction with regulatory authorities and eligibility for expedited review procedures.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can be no assurance that we will realize their intended benefits. For example, we have in the past and may in the future seek Fast Track Designation and/or Breakthrough Therapy designation for some of our product candidates. The FDA has broad discretion whether or not to grant these designations, so even if we believe a particular product candidate is eligible for this designation, there can be no assurance that the FDA would decide to grant it.</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The FDA has granted Fast Track designation for fasedienol for the acute treatment of SAD, for itruvone for the treatment of MDD, and for AV-101 for the adjunctive treatment of MDD and for the treatment of neuropathic pain, and we may seek Fast Track Designation for some of our other pherine product candidates. If a drug or biologic is intended for the treatment of a serious or life-threatening condition and the therapy demonstrates the potential to address unmet medical needs for this condition, the therapy sponsor may be eligible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NDA is submitted, the application may be eligible for priority review. A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The receipt of Fast Track designation for fasedienol for acute treatment of SAD, for itruvone for the treatment of MDD and AV-101 for the adjunctive treatment of MDD and for the treatment of neuropathic pain, and any future receipt of Fast Track designation for other product candidates, does not guarantee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A breakthrough therapy is defined as a drug or biologic that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a product candidate that has been designated as a Breakthrough Therapy, interaction and communication between the FDA and the sponsor of the trial can help to identify the most efficient path for clinical development while minimizing the number of patients placed in ineffective control regimens. Product candidates receiving Breakthrough Therapy designation also receive the same benefits associated with Fast Track designation, described above. Designation as a Breakthrough Therapy is within the sole discretion of the FDA. Accordingly, even if we believe one of our product candidates meets the criteria for designation as a Breakthrough Therapy, the FDA may disagree and instead determine not to make such designation. For example, the FDA has declined to grant our requests for breakthrough therapy designation for fasedienol for the acute treatment of SAD.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Some of our programs have been partially supported by government grant awards. Although we do not currently rely on government funding nor do we have a present intent to seek further grant funding from governmental agencies, should that change, such funding may not be available to us in the future or subject us to federal regulations such as “march-in” rights, certain reporting requirements and a preference for U.S. industry.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Currently, we do not rely on grant funding from government agencies for our development programs, and we do not have a present intent to seek grant funding from government agencies. While not a current priority, we may apply for grant funding from governmental agencies in the future. However, funding by these governmental agencies may be significantly reduced or eliminated in the future for a number of reasons. For example, some programs are subject to a yearly appropriations process in Congress. In addition, we may not receive full funding under current or future grants because of budgeting constraints of the agency administering the program or unsatisfactory progress on the study being funded. Therefore, we cannot assure you that we will receive any future grant funding from any government agencies, or, that if received, we will receive the full amount of the particular grant award. Any such reductions could delay the development of our product candidates.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Moreover, any intellectual property rights generated through the use of U.S. government funding are subject to the Bayh-Dole Act of 1980 (</w:t>
      </w:r>
      <w:r>
        <w:rPr>
          <w:rFonts w:ascii="Times New Roman;serif" w:hAnsi="Times New Roman;serif"/>
          <w:b w:val="false"/>
          <w:i/>
          <w:color w:val="000000"/>
          <w:sz w:val="20"/>
        </w:rPr>
        <w:t>Bayh-Dole Act</w:t>
      </w:r>
      <w:r>
        <w:rPr>
          <w:rFonts w:ascii="Times New Roman;serif" w:hAnsi="Times New Roman;serif"/>
          <w:b w:val="false"/>
          <w:color w:val="000000"/>
          <w:sz w:val="20"/>
        </w:rPr>
        <w:t xml:space="preserve">).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or non-exclusive licenses to any of these inventions to a third party if the government determines that: (1) adequate steps have not been taken to commercialize the invention; (2) government action is necessary to meet public health or safety needs; or (3) government action is necessary to meet requirements for public use under federal regulations, which we refer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p>
    <w:p>
      <w:pPr>
        <w:pStyle w:val="TextBody"/>
        <w:bidi w:val="0"/>
        <w:spacing w:before="0" w:after="0"/>
        <w:jc w:val="both"/>
        <w:rPr/>
      </w:pPr>
      <w:r>
        <w:rPr/>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As a result of any future arrangement involving government funding, and if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pStyle w:val="TextBody"/>
        <w:bidi w:val="0"/>
        <w:spacing w:lineRule="auto" w:line="276" w:before="0" w:after="200"/>
        <w:jc w:val="both"/>
        <w:rPr>
          <w:rFonts w:ascii="Times New Roman;serif" w:hAnsi="Times New Roman;serif"/>
          <w:b/>
          <w:i/>
          <w:color w:val="000000"/>
          <w:sz w:val="20"/>
        </w:rPr>
      </w:pPr>
      <w:r>
        <w:rPr>
          <w:rFonts w:ascii="Times New Roman;serif" w:hAnsi="Times New Roman;serif"/>
          <w:b/>
          <w:i/>
          <w:color w:val="000000"/>
          <w:sz w:val="20"/>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Federal and state healthcare laws and regulations that may affect our ability to operate include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fines and criminal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Health Insurance Portability and Accountability Act of 1996 (</w:t>
      </w:r>
      <w:r>
        <w:rPr>
          <w:rFonts w:ascii="Times New Roman;serif" w:hAnsi="Times New Roman;serif"/>
          <w:b w:val="false"/>
          <w:i/>
          <w:color w:val="000000"/>
          <w:sz w:val="20"/>
        </w:rPr>
        <w:t>HIPAA</w:t>
      </w:r>
      <w:r>
        <w:rPr>
          <w:rFonts w:ascii="Times New Roman;serif" w:hAnsi="Times New Roman;serif"/>
          <w:b w:val="false"/>
          <w:color w:val="000000"/>
          <w:sz w:val="20"/>
        </w:rPr>
        <w:t xml:space="preserve">), which prohibits, among other things,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Physician Payments Sunshine Act, which requires applicable manufacturers of drugs, devices, biologics and medical supplies for which payment is available under Medicare, Medicaid or the Children’s Health Insurance Program to report annually to the U.S. Centers for Medicare &amp; Medicaid Services, within the U.S. Department of Health and Human Services, information related to payments or other transfers of value made to physicians, certain non-physician practitioners including nurse practitioners, certified nurse anesthetists, anesthesiologist assistants, physician assistants, clinical nurse specialists, and certified nurse midwives as well as teaching hospitals and to disclose ownership and investment interests held by physicians and their immediate family members;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federal government price reporting laws, which require manufacturers to calculate and report complex pricing metrics in an accurate and timely manner to government programs;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federal consumer protection and unfair competition laws, which broadly regulate marketplace activities and activities that potentially harm consumers.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government-funded healthcare programs and imprisonment. If any of the above occur, our ability to operate our business and our results of operations could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Coverage and reimbursement may be limited or unavailable in certain market segments for our product candidates, if approved, which could make it difficult for us to sell any product candidates profitably.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covered benefit under its health plan;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safe, effective and medically necessary;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appropriate for the specific patient;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cost-effective;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neither experimental nor investigational.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U.S.,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Private health insurers and other third-party payors in the U.S. often follow the coverage and reimbursement policies of government payors, including the Medicare or Medicaid programs.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Healthcare legislative and regulatory reform measures may have a material adverse effect on our business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U.S. Governments have shown significant interest in implementing cost-containment programs, including price controls, restrictions on reimbursement and requirements for substitution of generic products. For instance, in August 2022, the Inflation Reduction Act of 2022 (the </w:t>
      </w:r>
      <w:r>
        <w:rPr>
          <w:rFonts w:ascii="Times New Roman;serif" w:hAnsi="Times New Roman;serif"/>
          <w:b w:val="false"/>
          <w:i/>
          <w:color w:val="000000"/>
          <w:sz w:val="20"/>
        </w:rPr>
        <w:t>IRA</w:t>
      </w:r>
      <w:r>
        <w:rPr>
          <w:rFonts w:ascii="Times New Roman;serif" w:hAnsi="Times New Roman;serif"/>
          <w:b w:val="false"/>
          <w:color w:val="000000"/>
          <w:sz w:val="20"/>
        </w:rPr>
        <w:t>) was signed into law. The IRA includes several provisions that will impact our business to varying degrees, including provisions that allow the U.S. government to negotiate Medicare Part B and Part D pricing for certain high-cost drugs and biologics without generic or biosimilar competition, require companies to pay rebates to Medicare for drug prices that increase faster than inflation, create an out-of-pocket cap for Medicare Part D beneficiaries, impose new manufacturer financial liability on all drugs in Medicare Part D and delay the rebate rule that would require pass-through of pharmacy benefit manager rebates to beneficiaries. In particular, the IRA allows CMS to begin negotiating prices for certain high-cost Medicare-covered small molecule drugs after they have spent seven years on the market. On August 29, 2023, CMS announced the list of the first ten drugs that will be subject to price negotiations. Any reduction in reimbursement from Medicare or other government programs may result in a similar reduction in payments from private payors. All of our disclosed product candidates are small molecule drugs and certain of them are being developed in indications that may rely heavily on Medicare reimbursement, such as depression. Accordingly, these new price-negotiation provisions may have a negative impact on our future revenue and profits. The implementation of the IRA is currently subject to ongoing litigation challenging the constitutionality of the IRA’s Medicare drug price negotiation program. The effect of IRA on our business and the healthcare industry in general is not yet fully known. Adoption of price controls and cost-containment measures, and adoption of more restrictive policies in jurisdictions with existing controls and measures, could further limit our revenue generated from the sale of any approved products. Even if we do receive a favorable coverage determination for our products by third-party payors, coverage policies and third-party payor reimbursement rates may change at any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The continuing efforts of the government, insurance companies, managed care organizations and other payers of healthcare services to contain or reduce costs of healthcare may adversely affect: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demand for any of our product candidates, if approved;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ability to set a price that we believe is fair for any of our product candidates, if approved;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generate revenues and achieve or maintain profitability;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level of taxes that we are required to pay;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availability of capital.</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In addition, recent and/or future policy changes may create uncertainty for our business. In its June 2024 decision in </w:t>
      </w:r>
      <w:r>
        <w:rPr>
          <w:rFonts w:ascii="Times New Roman;serif" w:hAnsi="Times New Roman;serif"/>
          <w:b w:val="false"/>
          <w:i/>
          <w:color w:val="000000"/>
          <w:sz w:val="20"/>
        </w:rPr>
        <w:t xml:space="preserve">Loper Bright Enterprises v. Raimondo </w:t>
      </w:r>
      <w:r>
        <w:rPr>
          <w:rFonts w:ascii="Times New Roman;serif" w:hAnsi="Times New Roman;serif"/>
          <w:b w:val="false"/>
          <w:color w:val="000000"/>
          <w:sz w:val="20"/>
        </w:rPr>
        <w:t xml:space="preserve">(the </w:t>
      </w:r>
      <w:r>
        <w:rPr>
          <w:rFonts w:ascii="Times New Roman;serif" w:hAnsi="Times New Roman;serif"/>
          <w:b w:val="false"/>
          <w:i/>
          <w:color w:val="000000"/>
          <w:sz w:val="20"/>
        </w:rPr>
        <w:t>Loper Decision</w:t>
      </w:r>
      <w:r>
        <w:rPr>
          <w:rFonts w:ascii="Times New Roman;serif" w:hAnsi="Times New Roman;serif"/>
          <w:b w:val="false"/>
          <w:color w:val="000000"/>
          <w:sz w:val="20"/>
        </w:rPr>
        <w:t xml:space="preserve">), the U.S. Supreme Court overturned the longstanding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doctrine, under which courts were required to give deference to regulatory agencies’ reasonable interpretations of ambiguous federal statutes. The Loper Decision could result in additional legal challenges to regulations and guidance issued by federal agencies applicable to our operations, including those issued by the FDA. Additionally, the Loper Decision may result in increased regulatory uncertainty, inconsistent judicial interpretations and other impacts to the agency rulemaking process.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healthcare reform measures that may be adopted in the future may result in more rigorous coverage criteria and in additional downward pressure on the price that we receive for any approved product. The implementation of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or clearances of our product candidates, if any, may be.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Off-label use or misuse of our product candidates may harm our reputation in the marketplace or result in injuries that lead to costly product liability suits.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our product candidates are approved by the FDA or comparable foreign regulatory authorities, we may only promote or market our product candidates in a manner consistent with their FDA-approved labeling (or the label approved by foreign regulatory authorities).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or comparable foreign regulatory authorities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Reduction in staffing and/or 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ability of the FDA and comparable foreign regulatory authorities to review and approve new products can be affected by a variety of factors, including staffing levels, government budget and funding levels, ability to hire and retain key personnel and accept the payment of user fees, and statutory, regulatory, and policy changes. Average review times at the FDA and comparable foreign regulatory authorities,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Disruptions and personnel turnover, as a result of leadership changes, staff reductions or otherwise, or changes to key personnel on relevant regulatory review teams at the FDA, other government agencies and comparable foreign regulatory authorities may also slow the time necessary for new drugs to be reviewed and/or approved by necessary government agencies and comparable foreign regulatory authorities, which would adversely affect our business. For example, in recent years, the U.S. government has shut down several times and certain regulatory agencies, such as the FDA, have had to furlough critical employees and stop critical activities.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current U.S. Presidential administration has issued certain policies and Executive Orders directed towards reducing the employee headcount and costs associated with U.S. administrative agencies, including the FDA and the USPTO, and it remains unclear the degree to which these efforts may limit or otherwise adversely affect ability of these agencies to conduct routine activities. Further in 2025, a government shutdown has occurred. If the shutdown continues,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 Significant reductions in, or disruptions to, staffing and resources available at the USPTO could lead to delays in the examination or approval of patent applications, or to other challenges in securing and/or enforcing our intellectual property rights.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are subject to evolving global data protection laws and regulations, which may require us to incur substantial compliance costs, and any failure or perceived failure by us to comply with such laws and regulations may harm our business and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In the U.S., HIPAA, as amended by the Health Information Technology for Economic and Clinical Health Act of 2009, and regulations implemented thereunder,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w:t>
      </w:r>
      <w:r>
        <w:rPr>
          <w:rFonts w:ascii="Times New Roman;serif" w:hAnsi="Times New Roman;serif"/>
          <w:b w:val="false"/>
          <w:i/>
          <w:color w:val="000000"/>
          <w:sz w:val="20"/>
        </w:rPr>
        <w:t>CCPA</w:t>
      </w:r>
      <w:r>
        <w:rPr>
          <w:rFonts w:ascii="Times New Roman;serif" w:hAnsi="Times New Roman;serif"/>
          <w:b w:val="false"/>
          <w:color w:val="000000"/>
          <w:sz w:val="20"/>
        </w:rPr>
        <w:t>)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w:t>
      </w:r>
      <w:r>
        <w:rPr>
          <w:rFonts w:ascii="Times New Roman;serif" w:hAnsi="Times New Roman;serif"/>
          <w:b w:val="false"/>
          <w:i/>
          <w:color w:val="000000"/>
          <w:sz w:val="20"/>
        </w:rPr>
        <w:t>CPRA</w:t>
      </w:r>
      <w:r>
        <w:rPr>
          <w:rFonts w:ascii="Times New Roman;serif" w:hAnsi="Times New Roman;serif"/>
          <w:b w:val="false"/>
          <w:color w:val="000000"/>
          <w:sz w:val="20"/>
        </w:rPr>
        <w:t>)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Other states have enacted similar consumer privacy laws that grant rights to data subjects and place privacy and security obligations on entities handling personal data of consumers or households. While we are not currently subject to laws such as the CCPA, such state privacy laws and similar legislation proposed at the state and federal level could mark the beginning of a trend toward more stringent privacy legislation in the U.S., which could increase our potential liability and adversely affect our business.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addition to our operations in the U.S., which may be subject to healthcare and other laws relating to the privacy and security of health information and other personal information, we may seek to conduct future clinical trials in the United Kingdom or the European Economic Area (the </w:t>
      </w:r>
      <w:r>
        <w:rPr>
          <w:rFonts w:ascii="Times New Roman;serif" w:hAnsi="Times New Roman;serif"/>
          <w:b w:val="false"/>
          <w:i/>
          <w:color w:val="000000"/>
          <w:sz w:val="20"/>
        </w:rPr>
        <w:t>EEA</w:t>
      </w:r>
      <w:r>
        <w:rPr>
          <w:rFonts w:ascii="Times New Roman;serif" w:hAnsi="Times New Roman;serif"/>
          <w:b w:val="false"/>
          <w:color w:val="000000"/>
          <w:sz w:val="20"/>
        </w:rPr>
        <w:t>) and may become subject to additional European data privacy laws, regulations and guidelines. We will be subject to the data protection laws of the EU and United Kingdom in relation to personal data we collect from these territories. These laws impose additional obligations and risk upon our business, including substantial expenses and changes to business operations that are required to comply with these laws. For example, the European Union General Data Protection Regulation (</w:t>
      </w:r>
      <w:r>
        <w:rPr>
          <w:rFonts w:ascii="Times New Roman;serif" w:hAnsi="Times New Roman;serif"/>
          <w:b w:val="false"/>
          <w:i/>
          <w:color w:val="000000"/>
          <w:sz w:val="20"/>
        </w:rPr>
        <w:t>EU GDPR</w:t>
      </w:r>
      <w:r>
        <w:rPr>
          <w:rFonts w:ascii="Times New Roman;serif" w:hAnsi="Times New Roman;serif"/>
          <w:b w:val="false"/>
          <w:color w:val="000000"/>
          <w:sz w:val="20"/>
        </w:rPr>
        <w:t>) went into effect in May 2018 and imposes strict requirements for processing the personal data of individuals within the EEA or in the context of our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some of the personal data we process in respect of clinical trial participants is special category or sensitive personal data under the EU GDPR, and subject to additional compliance obligations and to local law derogations. Since the beginning of 2021, after the end of the transition period following the withdrawal of the United Kingdom from the EU (</w:t>
      </w:r>
      <w:r>
        <w:rPr>
          <w:rFonts w:ascii="Times New Roman;serif" w:hAnsi="Times New Roman;serif"/>
          <w:b w:val="false"/>
          <w:i/>
          <w:color w:val="000000"/>
          <w:sz w:val="20"/>
        </w:rPr>
        <w:t>Brexit</w:t>
      </w:r>
      <w:r>
        <w:rPr>
          <w:rFonts w:ascii="Times New Roman;serif" w:hAnsi="Times New Roman;serif"/>
          <w:b w:val="false"/>
          <w:color w:val="000000"/>
          <w:sz w:val="20"/>
        </w:rPr>
        <w:t xml:space="preserve">), we may also be subject to the United Kingdom General Data Protection Regulation and Data Protection Act 2018 (collectively, the </w:t>
      </w:r>
      <w:r>
        <w:rPr>
          <w:rFonts w:ascii="Times New Roman;serif" w:hAnsi="Times New Roman;serif"/>
          <w:b w:val="false"/>
          <w:i/>
          <w:color w:val="000000"/>
          <w:sz w:val="20"/>
        </w:rPr>
        <w:t>UK GDPR</w:t>
      </w:r>
      <w:r>
        <w:rPr>
          <w:rFonts w:ascii="Times New Roman;serif" w:hAnsi="Times New Roman;serif"/>
          <w:b w:val="false"/>
          <w:color w:val="000000"/>
          <w:sz w:val="20"/>
        </w:rPr>
        <w:t>) which imposes separate but similar obligations to those under the EU GDPR and comparable penalties, including fines of up to £17.5 million or 4% of a noncompliant company’s global annual revenue for the preceding financial year, whichever is greater. The subsequent separation of the data protection regimes of these territories mean we are required to comply with separate data protection laws in the EU and United Kingdom, which may lead to additional compliance costs and could increase our overall risk.</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EU and UK GDPR (collectively, the</w:t>
      </w:r>
      <w:r>
        <w:rPr>
          <w:color w:val="000000"/>
        </w:rPr>
        <w:t xml:space="preserve"> </w:t>
      </w:r>
      <w:r>
        <w:rPr>
          <w:rFonts w:ascii="Times New Roman;serif" w:hAnsi="Times New Roman;serif"/>
          <w:b w:val="false"/>
          <w:i/>
          <w:color w:val="000000"/>
          <w:sz w:val="20"/>
        </w:rPr>
        <w:t>GDPR</w:t>
      </w:r>
      <w:r>
        <w:rPr>
          <w:rFonts w:ascii="Times New Roman;serif" w:hAnsi="Times New Roman;serif"/>
          <w:b w:val="false"/>
          <w:color w:val="000000"/>
          <w:sz w:val="20"/>
        </w:rPr>
        <w:t>), which deals with the processing of personal data and on the free movement of such data, imposes a broad range of strict requirements, including requirements relating to having lawful bases for processing personal data and transferring such information outside the EEA/UK, including to the U.S.,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GDPR imposes strict rules on the transfer of personal data out of the EEA/UK to countries not regarded by European Commission and the United Kingdom government as providing adequate protection, or the third countries,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pPr>
      <w:r>
        <w:rPr>
          <w:rFonts w:ascii="Times New Roman;serif" w:hAnsi="Times New Roman;serif"/>
          <w:b w:val="false"/>
          <w:color w:val="000000"/>
          <w:sz w:val="20"/>
        </w:rPr>
        <w:t>U.S. and the efficacy and longevity of current transfer mechanisms between the EEA and the U.S. remains uncertain. Case law from the Court of Justice of the European Union (</w:t>
      </w:r>
      <w:r>
        <w:rPr>
          <w:rFonts w:ascii="Times New Roman;serif" w:hAnsi="Times New Roman;serif"/>
          <w:b w:val="false"/>
          <w:i/>
          <w:color w:val="000000"/>
          <w:sz w:val="20"/>
        </w:rPr>
        <w:t>CJEU</w:t>
      </w:r>
      <w:r>
        <w:rPr>
          <w:rFonts w:ascii="Times New Roman;serif" w:hAnsi="Times New Roman;serif"/>
          <w:b w:val="false"/>
          <w:color w:val="000000"/>
          <w:sz w:val="20"/>
        </w:rPr>
        <w:t>)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U.S. Intelligence Activities’ which introduced new redress mechanisms and binding safeguards to address the concerns raised by the CJEU in relation to data transfers from the EEA to the U.S. and which formed the basis of the new EU-US Data Privacy Framework (</w:t>
      </w:r>
      <w:r>
        <w:rPr>
          <w:rFonts w:ascii="Times New Roman;serif" w:hAnsi="Times New Roman;serif"/>
          <w:b w:val="false"/>
          <w:i/>
          <w:color w:val="000000"/>
          <w:sz w:val="20"/>
        </w:rPr>
        <w:t>DPF</w:t>
      </w:r>
      <w:r>
        <w:rPr>
          <w:rFonts w:ascii="Times New Roman;serif" w:hAnsi="Times New Roman;serif"/>
          <w:b w:val="false"/>
          <w:color w:val="000000"/>
          <w:sz w:val="20"/>
        </w:rPr>
        <w:t>), as released on December 13, 2022. The European Commission adopted its Adequacy Decision in relation to the DPF on July 10, 2023, rendering the DPF effective as a EU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On October 12, 2023, the UK Extension to the DPF came into effect (as approved by the UK Government), as a UK GDPR data transfer mechanism to U.S. entities self-certified under the UK Extension to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This may lead to additional compliance costs and could increase our overall risk.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Should we conduct future clinical trials in the U.K. or EU, we cannot assure you that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reputation and materially harm our business. As we continue to expand into other foreign countries and jurisdictions, we may be subject to additional laws and regulations that may affect how we conduct business.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Additional laws and regulations governing international operations could negatively impact or restrict our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expand our operations outside of the U.S., we must dedicate additional resources to comply with numerous laws and regulations in each jurisdiction in which we plan to operate. The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Our Intellectual Property Rights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If we are unable to adequately protect our proprietary technology or obtain and maintain issued patents that are sufficient to protect our product candidates, others could compete against us, which would have a material adverse impact on our business, results of operations, financial condition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will depend significantly on our ability to obtain and maintain commercially meaningful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itruvone, PH80, PH15, and AV-101 and nasal spray delivery devices, and have licensed patents and patent applications related to certain stem cell technologies.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other parties may have developed technologies that may be related or competitive to our product candidates and may have filed or may file patent applications and may have been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Another source of uncertainty pertains to patent properties that were in-licensed by us for which prior art submissions were under the control of the licensor. We rely on these licensors to satisfy the relevant disclosure obligations.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any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patents are granted in the U.S. or other countries, third parties may challenge the validity, enforceability, or scope of such issued patents or any other issued patents we own or license, which may result in such patents being narrowed, invalidated, or held unenforceable.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U.S. and foreign patents and patent applications may be subject to various types of infringement and validity proceedings, including interference proceedings, ex parte reexamination, inter partes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a patent or rejection of a patent application or loss or reduction in the scope of one or more of the claims of the patent or patent in such a way that they no longer cover our product candidates or competitive products of third parties.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or non-infringing formulations, devices, or methods of their use. Other parties may develop and obtain patent protection for more effective technologies, designs, or methods.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or one of our licensing partners initiated legal proceedings against a third party to enforce a patent covering one of our product candidates, the defendant could counterclaim that the patent covering our product candidate is invalid and/or unenforceable. In patent litigation in the U.S.,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Third parties may also raise similar claims before administrative bodies in the U.S.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U.S., and we may encounter significant problems in protecting our proprietary rights in these countries. Moreover, public policy, both within and outside the U.S., has become increasingly unfavorable toward intellectual property rights. We cannot be certain that we will secure and maintain adequate patent protection for new products and technologies in the United States and other important markets. If these developments were to occur, they could have a material adverse effect on our sales.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litigation to enforce or defend our patent rights, even if we were to prevail, could be costly and time-consuming and would divert the attention of our management and key personnel from our business operations. We may not prevail in any lawsuits we initiate, or in which we participate as a third party, and the damages or other remedies awarded if we prevailed may not be commercially meaningful.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Overall, the degree of future protection for our proprietary rights is uncertain, and we cannot ensure that: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granted patents related to our product candidates or any pending patent applications, if granted and challenged by others, will include or maintain claims having a scope sufficient to protect these product candidates or any other products or product candidates against generic or other competition, particularly considering that any patent rights to these compounds per se have expired;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of our pending patent applications will issue as patents at all;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will be able to successfully commercialize our product candidates, if approved, before our relevant patents expire;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were the first to make the inventions covered by each of our patents and pending patent applications;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were the first to file patent applications for these inventions;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will not develop similar or alternative technologies that do not infringe our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will not use pre-existing technology to effectively compete against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of our patents, if issued, will ultimately be found to be valid and enforceable, including on the basis of prior art relating to our patent applications and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any of our U.S. patents, if issued, will be eligible for listing in the FDA’s “Approved Drug Products with Therapeutics Equivalents Evaluations” (commonly known as </w:t>
      </w:r>
      <w:r>
        <w:rPr>
          <w:rFonts w:ascii="Times New Roman;serif" w:hAnsi="Times New Roman;serif"/>
          <w:b w:val="false"/>
          <w:i/>
          <w:color w:val="000000"/>
          <w:sz w:val="20"/>
        </w:rPr>
        <w:t>the Orange Book</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patents that are listed in the Orange Book may be challenged by the Federal Trade Commission or other as being listed inappropriately and subsequently removed, thereby depriving the Company of significant patent enforcement protections;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patents currently held or issued to us in the future will provide a basis for an exclusive market for our commercially viable products, will provide us with any competitive advantages or will not be challenged by third parties;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will develop additional proprietary technologies or product candidates that are separately patentable; or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commercial activities or products will not infringe the patents or proprietary rights of others.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who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 and we may thereby lose intellectual property protection.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a failure to prevail in such proceedings could have a material adverse effect on the success of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inter partes reviews, or derivation proceedings before the U.S. or other jurisdictions.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biopharmaceutical industry is characterized by extensive litigation regarding patents and other intellectual property rights. Other parties may allege that our product candidates or the use of our technologies infringe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devices,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U.S. or the European Union.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 unfavorable outcome in the foregoing kinds of proceedings could require us or our licensors or collaborators to cease using the related technology or developing or commercializing one or more of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one or more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intellectual property litigation or claims could force us to do one or more of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cease developing, selling or otherwise commercializing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pay substantial damages for past use of the asserted intellectual property;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obtain a license from the holder of the asserted intellectual property, which license may not be available on commercially reasonable terms, if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 the case of trademark claims, redesign, or rename, some or all of our product candidates to avoid infringing the intellectual property rights of third parties, which may not be possible and, even if possible, could be costly and time-consuming.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risks coming to fruition could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or ownership of our patents and other intellectual property.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do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Filing, prosecuting, and defending patents on product candidates in all countries and jurisdictions throughout the world is prohibitively expensive, and our intellectual property rights in some countries outside the U.S. could be absent, unavailable or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must decide where and when to pursue protection outside the 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In addition, we may not be able to obtain a trademark registration in the US or other countries that provides optimal brand name protection, and we may not be able to obtain the same trademark registration in the US and other countries. Even if we pursue and obtain issued patents in particular jurisdictions, our patent claims or other intellectual property rights may not be effective or sufficient to prevent third parties from so competing.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Some intellectual property that we have licensed may have been discovered through government-funded programs and thus may be subject to federal regulations such as “march-in”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Some of the intellectual property rights we have licensed or may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These U.S. government rights in certain inventions developed under a government-funded program include a non-exclusive, non-transferable, irrevocable worldwide license to use inventions for any governmental purpose.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government may acquire title to these inventions in any country in which a patent application is not filed within specified time limits.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Intellectual property generated under a government-funded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U.S.to the extent they are commercialized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not a current priority, in the event that we apply for additional U.S. government funding, and we discover compounds or drug candidates as a result of such funding, intellectual property rights to such discoveries may be subject to the applicable provisions of the Bayh-Dole 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do not obtain additional protection under the Hatch-Waxman Amendments and similar foreign legislation by extending the patent terms or obtaining regulatory and data exclusivity for our product candidates, our business may be materially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fasedienol, itruvone, or AV-101 is used in another drug company’s product candidate and that product candidate is the first to obtain FDA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recent U.S. Supreme Court rulings have narrowed the scope of patent protection available in certain circumstances and weakened the rights of patent owners in certain situations. The full impact of these decisions is not yet known.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or our employees have wrongfully used or disclosed alleged trade secrets of their former employers.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Numerous factors may limit any potential competitive advantage provided by our intellectual property rights.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may be able to develop and/or practice technology that is similar to our technology or aspects of our technology but that is not covered by the claims of patents, should such patents issue from our patent applications;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might not have been the first to make the inventions covered by a pending patent application that we own;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might not have been the first to file patent applications covering an invention;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may independently develop similar or alternative technologies without infringing our intellectual property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pending patent applications that we own or license may not lead to issued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patents, if issued, that we own or license may not provide us with any competitive advantages, or may be held invalid or unenforceable or be narrowed, as a result of legal challenges by our competitors;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third parties may compete with us in jurisdictions where we do not pursue and obtain patent protection;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not be able to obtain and/or maintain necessary or useful licenses on reasonable terms or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significantly harm our business and results of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our Securities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Market volatility may affect our stock price and the value of your investment.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market price for our common stock, similar to that of other biopharmaceutical companies, is likely to remain highly volatile. The market price of our common stock may fluctuate significantly for no apparent reason or in response to a number of factors, most of which we cannot control, including,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volatility resulting from uncertainty and general economic conditions;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plans for, progress of or results from nonclinical and clinical development activities related to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the FDA or other regulatory authority to review or approve our product candidates in a timely manner, or at all;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announcements of new products, technologies, commercial relationships, acquisitions or other events by us or our competitors;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success or failure of other neuroscience therapies in development by other companies;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regulatory or legal developments in the U.S. and other countries;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announcements regarding our intellectual property portfolio;</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failure of our product candidates, if approved, to achieve commercial success;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fluctuations in stock market prices and trading volumes of similar companies;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general market conditions and overall fluctuations in U.S. debt and equity markets;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variations in our quarterly operating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our financial guidance or securities analysts’ estimates of our financial performance;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accounting principles;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raise additional capital and the terms on which we can raise it;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sales or purchases of large blocks of our common stock, including sales or purchases by our executive officers, directors and significant stockholders;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establishment of short positions by holders or non-holders of our stock or warrants;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discussion of us or our stock price by the press and by anonymous or other online investor communities;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 risks and uncertainties described in these risk factors.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i/>
          <w:color w:val="000000"/>
          <w:sz w:val="20"/>
        </w:rPr>
        <w:t>There may be issuances of shares of preferred stock in the future</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Our Restated Articles of Incorporation, as amended (</w:t>
      </w:r>
      <w:r>
        <w:rPr>
          <w:rFonts w:ascii="Times New Roman;serif" w:hAnsi="Times New Roman;serif"/>
          <w:b w:val="false"/>
          <w:i/>
          <w:color w:val="000000"/>
          <w:sz w:val="20"/>
        </w:rPr>
        <w:t>the Articles</w:t>
      </w:r>
      <w:r>
        <w:rPr>
          <w:rFonts w:ascii="Times New Roman;serif" w:hAnsi="Times New Roman;serif"/>
          <w:b w:val="false"/>
          <w:color w:val="000000"/>
          <w:sz w:val="20"/>
        </w:rPr>
        <w:t>), permit us to issue up to 10.0 million shares of preferred stock. As a result, our Board could authorize the issuance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i/>
          <w:color w:val="000000"/>
          <w:sz w:val="20"/>
        </w:rPr>
        <w:t>We incur significant costs to ensure compliance with corporate governance, federal securities law and accounting requirements</w:t>
      </w: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We are subject to the reporting requirements of the Exchange Act which requires that we file annual, quarterly and current reports with respect to our business and financial condition, and the rules and regulations implemented by the SEC, the Sarbanes-Oxley Act of 2002, as amended (the </w:t>
      </w:r>
      <w:r>
        <w:rPr>
          <w:rFonts w:ascii="Times New Roman;serif" w:hAnsi="Times New Roman;serif"/>
          <w:b w:val="false"/>
          <w:i/>
          <w:color w:val="000000"/>
          <w:sz w:val="20"/>
        </w:rPr>
        <w:t>Sarbanes-Oxley Act</w:t>
      </w:r>
      <w:r>
        <w:rPr>
          <w:rFonts w:ascii="Times New Roman;serif" w:hAnsi="Times New Roman;serif"/>
          <w:b w:val="false"/>
          <w:color w:val="000000"/>
          <w:sz w:val="20"/>
        </w:rPr>
        <w:t xml:space="preserve">), the Dodd-Frank Act, and the Public Company Accounting Oversight Board, each of which imposes additional reporting and other obligations on public companies.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amount of our future losses is uncertain and our quarterly and annual operating results may fluctuate significantly or fall below the expectations of investors or securities analysts, each of which may cause our stock price to fluctuate or decline.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timing and success or failure of clinical trials for our product candidates or competing product candidates, or any other change in the competitive landscape of our industry,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successfully recruit, enroll and retain subjects who meet our eligibility criteria for participation in our clinical trials, and any delays caused by difficulties in such efforts;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obtain marketing approval for our product candidates and the timing and scope of any such approvals we may receive;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timing and cost of, and level of investment in, research and development and commercialization activities relating to our product candidates, which may change from time to time;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cost of manufacturing our product candidates, which may vary depending on the quantity of production and the terms of our agreements with contract manufacturers;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attract, hire and retain qualified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expenditures that we will or may incur to develop additional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level of demand for our product candidates should they receive approval, which may vary significantly;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changing and volatile U.S. and global economic and political environments, including the impact of inflation and rising interest rates, and domestic or international political instability; 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Because of potential volatility in our trading price and trading volume, we may incur significant costs from class action securities litigation.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stock market in general, and the Nasdaq Stock Market </w:t>
      </w:r>
      <w:r>
        <w:rPr>
          <w:rFonts w:ascii="Times New Roman;serif" w:hAnsi="Times New Roman;serif"/>
          <w:b w:val="false"/>
          <w:i/>
          <w:color w:val="000000"/>
          <w:sz w:val="20"/>
        </w:rPr>
        <w:t>(Nasdaq</w:t>
      </w:r>
      <w:r>
        <w:rPr>
          <w:rFonts w:ascii="Times New Roman;serif" w:hAnsi="Times New Roman;serif"/>
          <w:b w:val="false"/>
          <w:color w:val="000000"/>
          <w:sz w:val="20"/>
        </w:rPr>
        <w:t>) and biotechnology and pharmaceutical companies in particular, have experienced extreme price and volume fluctuations that have often been unrelated or disproportionate to the operating performance of these companies. Historically, securities class action litigation has often been brought against companies following periods of volatility in the market price of a company’s securities. For example, purported stockholders of the Company filed a lawsuit in the United States District Court for the Northern District of California against the Company and certain of our executive officers, the members of our Board and certain other parties, claiming, under the U.S. federal securities laws and certain California civil statutes, among other things, allegedly false or misleading statements, and alleged omissions of material facts, related to our public disclosures. We believe the claims are without merit and intend to vigorously defend all claims. This type of litigation could result in substantial costs and a diversion of management’s attention and resources, which could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issuance of additional capital stock in connection with financings, acquisitions, investments, our stock incentive plans or otherwise may, and likely will significantly dilute all other stockholders.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issue additional capital stock in the future that may, and likely will result in substantial dilution to all of our stockholders. We expect to grant equity awards to employees and directors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will cause stockholders to experience significant dilution of their ownership interests and the per share value of our common stock to decline.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Because we have no current plans to pay cash dividends on our common stock, you may not receive any return on investment unless you sell your common stock for a price greater than that which you paid for 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have no current plans to pay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your sole source of gain for the foreseeable future.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Future offerings of debt or equity securities by us may adversely affect the market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Issuing additional shares of our common stock or other equity securities or securities convertible into equity will dilute the economic and voting rights of our existing stockholders and may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conditions and other factors beyond our control, which may adversely affect the amount, timing and nature of our future offerings.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Adverse market or macroeconomic conditions or market volatility resulting from global economic and political developments, including those affecting the financial services industry, could adversely affect our business operations and our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Adverse market or macroeconomic and political conditions or market volatility resulting from global economic developments, political activity and uncertainty, high inflation, rising interest rates, the post-COVID environment or other factors, could materially and adversely affect our business operations.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These events could result in a variety of material and adverse impacts on our current and projected business operations and our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any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 any significant supplier relationships, could cause us to suffer material losses and may have a material adverse impact on our business.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Changes in tax law could adversely affect our business and financial condition.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For example, on July 4, 2025, the United States enacted tax legislation commonly referred to as the One Big Beautiful Bill Act (</w:t>
      </w:r>
      <w:r>
        <w:rPr>
          <w:rFonts w:ascii="Times New Roman;serif" w:hAnsi="Times New Roman;serif"/>
          <w:b w:val="false"/>
          <w:i/>
          <w:color w:val="000000"/>
          <w:sz w:val="20"/>
        </w:rPr>
        <w:t>OBBB Act</w:t>
      </w:r>
      <w:r>
        <w:rPr>
          <w:rFonts w:ascii="Times New Roman;serif" w:hAnsi="Times New Roman;serif"/>
          <w:b w:val="false"/>
          <w:color w:val="000000"/>
          <w:sz w:val="20"/>
        </w:rPr>
        <w:t>). In accordance with U.S. GAAP, the Company will account for the tax effects of changes in tax law in the period of enactment which is the quarter ended September 30, 2025. The Company is currently in the process of analyzing the tax impacts of the OBBB Act, but we do not expect a material impact on our financial statements. We urge investors to consult with their legal and tax advisers regarding the implications of potential changes in tax laws on an investment in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losses and research and development tax credits to offset future taxable income may be subject to certain limitations.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As of March 31, 2025, we had U.S. federal net operating loss carryforwards totaling $229.2 million. Federal net operating loss carryforwards of approximately $82.1 million generated through our fiscal year ended March 31, 2018 will expire in our fiscal years ending March 31, 2025 through March 31, 2038. Federal net operating loss carryforwards of approximately $147.1 million generated in fiscal years ending after March 31, 2018 will carry forward indefinitely, but are subject to an 80% taxable income limitation. As of March 31, 2025, we had state net operating loss carryforwards totaling $66.6 million, which expire at various dates between 2029 and 2045. As of March 31, 2025, we also had U.S. federal and state research and development tax credit carryforwards of $7.6 million and $2.0 million, respectively. The federal tax credits will expire at various dates beginning with our fiscal year ending March 31, 2029, unless previously utilized. The state tax credits do not expire and will carry forward indefinitely until utilized. The net operating losses which are limited in life and tax credit carryforwards could expire unused and be unavailable to offset future income tax liabilities. In addition, in general, under Sections 382 and 383 of the Internal Revenue Code of 1986, as amended (the </w:t>
      </w:r>
      <w:r>
        <w:rPr>
          <w:rFonts w:ascii="Times New Roman;serif" w:hAnsi="Times New Roman;serif"/>
          <w:b w:val="false"/>
          <w:i/>
          <w:color w:val="000000"/>
          <w:sz w:val="20"/>
        </w:rPr>
        <w:t>Code</w:t>
      </w:r>
      <w:r>
        <w:rPr>
          <w:rFonts w:ascii="Times New Roman;serif" w:hAnsi="Times New Roman;serif"/>
          <w:b w:val="false"/>
          <w:color w:val="000000"/>
          <w:sz w:val="20"/>
        </w:rPr>
        <w:t>) a corporation that undergoes an “ownership change” is subject to limitations on its ability to utilize its pre-change net operating losses (</w:t>
      </w:r>
      <w:r>
        <w:rPr>
          <w:rFonts w:ascii="Times New Roman;serif" w:hAnsi="Times New Roman;serif"/>
          <w:b w:val="false"/>
          <w:i/>
          <w:color w:val="000000"/>
          <w:sz w:val="20"/>
        </w:rPr>
        <w:t>NOLs</w:t>
      </w:r>
      <w:r>
        <w:rPr>
          <w:rFonts w:ascii="Times New Roman;serif" w:hAnsi="Times New Roman;serif"/>
          <w:b w:val="false"/>
          <w:color w:val="000000"/>
          <w:sz w:val="20"/>
        </w:rPr>
        <w:t xml:space="preserve">) or tax credits or credits, to offset future taxable income or taxes. For these purposes, an ownership change generally occurs where the aggregate stock ownership of one or more stockholders or groups of stockholders who own at least 5% of a corporation’s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stock increase their ownership by more than 50 percentage points over their lowest ownership percentage within a specified testing period. Our existing NOLs or credits may be subject to limitations arising from previous ownership changes, and if we undergo an ownership change in the future,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 If we determine that an ownership change has occurred and our ability to use our historical NOLs or credits is materially limited, it would harm our future operating results by effectively increasing our future tax obligations. Section 382 and 383 of the Code would apply to all net operating loss and tax credit carryforwards, whether the carryforward period is indefinite or not.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our ability to utilize our historical NOLs or credits is conditioned upon us attaining profitability and generating U.S. federal and state taxable income. We are a clinical-stage biopharmaceutical company with a limited operating history. We have incurred significant net losses since our inception and anticipate that we will continue to incur significant losses for the foreseeable future; and therefore, we do not know whether or when we will generate the U.S. federal or state taxable income necessary to utilize our historical NOLs or credits that may be subject to limitation by Sections 382 and 383 of the Code.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we conduct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identify any future material weaknesses, the accuracy and timing of our financial reporting may be adversely affected, we may be unable to maintain compliance with securities law requirements regarding timely filing of periodic reports or applicable stock exchange listing requirements, investors may lose confidence in our financial reporting and our stock price may decline as a result. We also could become subject to investigations by Nasdaq, the SEC or other regulatory authorities.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Reports published by analysts, including projections in those reports that differ from our actual results, could adversely affect the price and trading volume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Independent securities research analysts may establish and publish their own periodic analysis of and projections relating to our operation and prospects. These analyses and projections may vary widely and may not accurately predict the results we actually achieve. Our share price may decline if our actual results do not match the analyses and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Although we are currently in compliance with all applicable Nasdaq continued listing standards, there can be no assurance that we will be able to continue to comply with such Nasdaq continued listing standards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in the future, Nasdaq delists our shares of common stock from trading on its exchange for failure to meet Nasdaq’s continued listing standards, we and our stockholders could face significant material adverse consequences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limited availability of market quotations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reduced liquidity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limited amount of news and analyst coverage;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decreased ability to issue additional securities or obtain additional financing in the future.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price of our common stock may be volatile.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price of our common stock may fluctuate due to a variety of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industries in which we and our customers operate;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variations in our operating performance and the performance of our competitors in general;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material and adverse impact of the COVID-19 pandemic and post-COVID environment on the markets and the broader global economy;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actual or anticipated fluctuations in our quarterly or annual operating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publication of research reports by securities analysts about us, our competitors or our industry;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failure or the failure of our competitors to meet analysts’ projections or guidance that we or our competitors may give to the market;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additions and departures of key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volume of shares of our common stock available for public sale;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general economic and political conditions such as recessions, rising or unchanged interest rates, inflation, fuel prices, foreign currency fluctuations, international tariffs, boycotts, curtailment of trade and other business restrictions, social, political and economic risks, natural disasters and acts of war or terrorism, such as the conflicts involving Ukraine and Russia, or Israel and its surrounding regions.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These market and industry factors may materially reduce the market price of shares of our common stock regardless of our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12, 2025 Shawn K. Singh, JD, age 62, our President and Chief Executive Officer, was appointed to act, on a temporary basis, as our interim principal financial and accounting officer, pending the completion of our ongoing search for a successor to our previous Chief Financial Officer. The information required by Items 401(b), (d), (e) and Item 404(a) of Regulation S-K is incorporated by reference from our definitive proxy statement on Schedule 14A filed with the SEC on July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310"/>
        <w:gridCol w:w="274"/>
        <w:gridCol w:w="275"/>
        <w:gridCol w:w="2812"/>
        <w:gridCol w:w="2696"/>
        <w:gridCol w:w="3838"/>
      </w:tblGrid>
      <w:tr>
        <w:trPr/>
        <w:tc>
          <w:tcPr>
            <w:tcW w:w="3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8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101jerrygin-consultingag.htm">
              <w:r>
                <w:rPr>
                  <w:rStyle w:val="InternetLink"/>
                  <w:rFonts w:ascii="Times New Roman;serif" w:hAnsi="Times New Roman;serif"/>
                  <w:b w:val="false"/>
                  <w:color w:val="000080"/>
                  <w:sz w:val="20"/>
                  <w:u w:val="single"/>
                </w:rPr>
                <w:t>10.1</w:t>
              </w:r>
            </w:hyperlink>
            <w:hyperlink w:anchor="ex101jerrygin-consultingag.htm">
              <w:r>
                <w:rPr>
                  <w:rStyle w:val="InternetLink"/>
                  <w:rFonts w:ascii="Times New Roman;serif" w:hAnsi="Times New Roman;serif"/>
                  <w:b w:val="false"/>
                  <w:color w:val="000080"/>
                  <w:sz w:val="20"/>
                  <w:u w:val="single"/>
                </w:rPr>
                <w:t>*</w:t>
              </w:r>
            </w:hyperlink>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Consulting Agreement, by and between Vistagen Therapeutics, Inc. and Jerry Gin, dated September 9, 2025</w:t>
            </w:r>
          </w:p>
        </w:tc>
      </w:tr>
      <w:tr>
        <w:trPr/>
        <w:tc>
          <w:tcPr>
            <w:tcW w:w="8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102cindyanderson-consult.htm">
              <w:r>
                <w:rPr>
                  <w:rStyle w:val="InternetLink"/>
                  <w:rFonts w:ascii="Times New Roman;serif" w:hAnsi="Times New Roman;serif"/>
                  <w:b w:val="false"/>
                  <w:color w:val="000080"/>
                  <w:sz w:val="20"/>
                  <w:u w:val="single"/>
                </w:rPr>
                <w:t>1</w:t>
              </w:r>
            </w:hyperlink>
            <w:hyperlink w:anchor="ex102cindyanderson-consult.htm">
              <w:r>
                <w:rPr>
                  <w:rStyle w:val="InternetLink"/>
                  <w:rFonts w:ascii="Times New Roman;serif" w:hAnsi="Times New Roman;serif"/>
                  <w:b w:val="false"/>
                  <w:color w:val="000080"/>
                  <w:sz w:val="20"/>
                  <w:u w:val="single"/>
                </w:rPr>
                <w:t>0.2*</w:t>
              </w:r>
            </w:hyperlink>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Consulting Agreement by, and between Vistagen Therapeutics, Inc. and Cynthia Anderson, dated October 15, 2025</w:t>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r:id="rId2">
              <w:r>
                <w:rPr>
                  <w:rStyle w:val="InternetLink"/>
                  <w:rFonts w:ascii="Times New Roman;serif" w:hAnsi="Times New Roman;serif"/>
                  <w:b w:val="false"/>
                  <w:color w:val="000000"/>
                  <w:sz w:val="20"/>
                  <w:u w:val="single"/>
                </w:rPr>
                <w:t>10.3</w:t>
              </w:r>
            </w:hyperlink>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Indemnification Agreement, by and between Vistagen Therapeutics, Inc. and Paul R. Edick, dated October 29, 2025, incorporated by reference from Exhibit 10.1 to the Company's Current Report on Form 8-K filed on October 29, 2025</w:t>
            </w:r>
          </w:p>
        </w:tc>
      </w:tr>
      <w:tr>
        <w:trPr/>
        <w:tc>
          <w:tcPr>
            <w:tcW w:w="8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50930xexx311.htm">
              <w:r>
                <w:rPr>
                  <w:rStyle w:val="InternetLink"/>
                  <w:rFonts w:ascii="Times New Roman;serif" w:hAnsi="Times New Roman;serif"/>
                  <w:b w:val="false"/>
                  <w:color w:val="0000EE"/>
                  <w:sz w:val="20"/>
                  <w:u w:val="single"/>
                </w:rPr>
                <w:t>31.1*</w:t>
              </w:r>
            </w:hyperlink>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required by Rule 13a-14(a) under the Securities Exchange Act of 1934, as amended, as adopted pursuant to Section 302 of the Sarbanes-Oxley Act of 2002</w:t>
            </w:r>
          </w:p>
        </w:tc>
      </w:tr>
      <w:tr>
        <w:trPr/>
        <w:tc>
          <w:tcPr>
            <w:tcW w:w="8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50930xexx312.htm">
              <w:r>
                <w:rPr>
                  <w:rStyle w:val="InternetLink"/>
                  <w:rFonts w:ascii="Times New Roman;serif" w:hAnsi="Times New Roman;serif"/>
                  <w:b w:val="false"/>
                  <w:color w:val="0000EE"/>
                  <w:sz w:val="20"/>
                  <w:u w:val="single"/>
                </w:rPr>
                <w:t>31.2*</w:t>
              </w:r>
            </w:hyperlink>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required by Rule 13a-14(a) under the Securities Exchange Act of 1934, as amended, as adopted pursuant to Section 302 of the Sarbanes-Oxley Act of 2002</w:t>
            </w:r>
          </w:p>
        </w:tc>
      </w:tr>
      <w:tr>
        <w:trPr/>
        <w:tc>
          <w:tcPr>
            <w:tcW w:w="8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50930xexx32.htm">
              <w:r>
                <w:rPr>
                  <w:rStyle w:val="InternetLink"/>
                  <w:rFonts w:ascii="Times New Roman;serif" w:hAnsi="Times New Roman;serif"/>
                  <w:b w:val="false"/>
                  <w:color w:val="0000EE"/>
                  <w:sz w:val="20"/>
                  <w:u w:val="single"/>
                </w:rPr>
                <w:t>32*</w:t>
              </w:r>
            </w:hyperlink>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and Financial Officers required by Rule 13a-14(b) and Section 1350 of Chapter 63 of Title 18 of the United States Code, as adopted pursuant to Section 906 of the Sarbanes-Oxley Act of 2002</w:t>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 *</w:t>
            </w:r>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0"/>
        <w:jc w:val="left"/>
        <w:rPr/>
      </w:pPr>
      <w:hyperlink w:anchor="i42e0b430a4b8421bb475e011225b5a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4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449" w:type="dxa"/>
        <w:jc w:val="left"/>
        <w:tblInd w:w="0" w:type="dxa"/>
        <w:tblLayout w:type="fixed"/>
        <w:tblCellMar>
          <w:top w:w="28" w:type="dxa"/>
          <w:left w:w="28" w:type="dxa"/>
          <w:bottom w:w="28" w:type="dxa"/>
          <w:right w:w="28" w:type="dxa"/>
        </w:tblCellMar>
      </w:tblPr>
      <w:tblGrid>
        <w:gridCol w:w="835"/>
        <w:gridCol w:w="734"/>
        <w:gridCol w:w="741"/>
        <w:gridCol w:w="2087"/>
        <w:gridCol w:w="2087"/>
        <w:gridCol w:w="2965"/>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VISTAGEN THERAPEUTICS, INC. </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13, 2025</w:t>
            </w:r>
          </w:p>
        </w:tc>
        <w:tc>
          <w:tcPr>
            <w:tcW w:w="713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Shawn K. Singh, JD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Shawn K. Singh, JD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President and Chief Executive Officer </w:t>
            </w:r>
          </w:p>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 and Interim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1" w:after="283"/>
        <w:jc w:val="center"/>
        <w:rPr>
          <w:rFonts w:ascii="Times New Roman;serif" w:hAnsi="Times New Roman;serif"/>
          <w:b/>
          <w:color w:val="000000"/>
          <w:sz w:val="20"/>
        </w:rPr>
      </w:pPr>
      <w:r>
        <w:rPr>
          <w:rFonts w:ascii="Times New Roman;serif" w:hAnsi="Times New Roman;serif"/>
          <w:b/>
          <w:color w:val="000000"/>
          <w:sz w:val="20"/>
        </w:rPr>
        <w:t>CONSULTING SERVICES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This Consulting Services Agreement (“Agreement”) will be effective when signed by both parties (“Effective Date”) and is made by and between </w:t>
      </w:r>
      <w:r>
        <w:rPr>
          <w:rFonts w:ascii="Times New Roman;serif" w:hAnsi="Times New Roman;serif"/>
          <w:b/>
          <w:color w:val="000000"/>
          <w:sz w:val="20"/>
        </w:rPr>
        <w:t>Vistagen Therapeutics, Inc.</w:t>
      </w:r>
      <w:r>
        <w:rPr>
          <w:rFonts w:ascii="Times New Roman;serif" w:hAnsi="Times New Roman;serif"/>
          <w:b w:val="false"/>
          <w:color w:val="000000"/>
          <w:sz w:val="20"/>
        </w:rPr>
        <w:t xml:space="preserve">, a Nevada corporation, having an address at 343 Allerton Avenue, South San Francisco, CA 94080 (“Vistagen”), and </w:t>
      </w:r>
      <w:r>
        <w:rPr>
          <w:rFonts w:ascii="Times New Roman;serif" w:hAnsi="Times New Roman;serif"/>
          <w:b/>
          <w:color w:val="000000"/>
          <w:sz w:val="20"/>
        </w:rPr>
        <w:t>Jerry B. Gin</w:t>
      </w:r>
      <w:r>
        <w:rPr>
          <w:rFonts w:ascii="Times New Roman;serif" w:hAnsi="Times New Roman;serif"/>
          <w:b w:val="false"/>
          <w:color w:val="000000"/>
          <w:sz w:val="20"/>
        </w:rPr>
        <w:t xml:space="preserve">, </w:t>
      </w:r>
      <w:r>
        <w:rPr>
          <w:rFonts w:ascii="Times New Roman;serif" w:hAnsi="Times New Roman;serif"/>
          <w:b/>
          <w:color w:val="000000"/>
          <w:sz w:val="20"/>
        </w:rPr>
        <w:t>Ph.D.</w:t>
      </w:r>
      <w:r>
        <w:rPr>
          <w:rFonts w:ascii="Times New Roman;serif" w:hAnsi="Times New Roman;serif"/>
          <w:b w:val="false"/>
          <w:color w:val="000000"/>
          <w:sz w:val="20"/>
        </w:rPr>
        <w:t>, an independent consultant (“Consultant”). In this Agreement, Vistagen and Dr. Gin</w:t>
      </w:r>
      <w:r>
        <w:rPr>
          <w:color w:val="00B050"/>
        </w:rPr>
        <w:t xml:space="preserve"> </w:t>
      </w:r>
      <w:r>
        <w:rPr>
          <w:rFonts w:ascii="Times New Roman;serif" w:hAnsi="Times New Roman;serif"/>
          <w:b w:val="false"/>
          <w:color w:val="000000"/>
          <w:sz w:val="20"/>
        </w:rPr>
        <w:t>are sometimes referred to individually as a “Party” and together as the “Parties.”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RECITALS: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Vistagen is a late clinical-stage biopharmaceutical company leveraging a deep understanding of nose-to-brain neurocircuitry to develop and commercialize a broad and diverse pipeline of clinical-stage product candidates from a new class of intranasal therapies called pherines for treating multiple highly prevalent indications, including social anxiety disorder, major depressive disorder, and vasomotor symptoms (hot flashes) associated with menopause.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Consultant is a seasoned pharmaceutical executive who served as a member of Vistagen’s Board of Directors (the “Board”) from March 29, 2016, until his retirement from the Board as of the Effective Date. During his tenure on the Board, Consultant provided Vistagen with important contributions in, among other things, the areas of intranasal drug delivery, intranasal medical device development and associated regulatory approvals.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Consultant’s service on the Board, Consultant is familiar with Vistagen’s intranasal pherine development plans and programs and, as a result, the parties desire to establish terms for Consultant to continue providing Vistagen with input on such plans and programs following his retirement from Vistagen’s Board.</w:t>
      </w:r>
    </w:p>
    <w:p>
      <w:pPr>
        <w:pStyle w:val="TextBody"/>
        <w:bidi w:val="0"/>
        <w:spacing w:before="0" w:after="0"/>
        <w:jc w:val="both"/>
        <w:rPr/>
      </w:pPr>
      <w:r>
        <w:rPr/>
      </w:r>
    </w:p>
    <w:p>
      <w:pPr>
        <w:pStyle w:val="TextBody"/>
        <w:bidi w:val="0"/>
        <w:spacing w:lineRule="auto" w:line="273" w:before="1" w:after="283"/>
        <w:jc w:val="left"/>
        <w:rPr>
          <w:rFonts w:ascii="Times New Roman;serif" w:hAnsi="Times New Roman;serif"/>
          <w:b/>
          <w:color w:val="000000"/>
          <w:sz w:val="20"/>
        </w:rPr>
      </w:pPr>
      <w:r>
        <w:rPr>
          <w:rFonts w:ascii="Times New Roman;serif" w:hAnsi="Times New Roman;serif"/>
          <w:b/>
          <w:color w:val="000000"/>
          <w:sz w:val="20"/>
        </w:rPr>
        <w:t>The parties therefore agree as follows:</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Services</w:t>
      </w:r>
      <w:r>
        <w:rPr>
          <w:rFonts w:ascii="Times New Roman;serif" w:hAnsi="Times New Roman;serif"/>
          <w:b w:val="false"/>
          <w:color w:val="000000"/>
          <w:sz w:val="20"/>
        </w:rPr>
        <w:t>. Consultant shall provide the services described in Exhibit “A” to this Agreement (the “Services”). Consultant shall perform the Services in good faith and with the care reasonably expected for such activities by appropriately experienced professionals in the biopharmaceutical industry.</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Vistagen Contact Persons</w:t>
      </w:r>
      <w:r>
        <w:rPr>
          <w:rFonts w:ascii="Times New Roman;serif" w:hAnsi="Times New Roman;serif"/>
          <w:b w:val="false"/>
          <w:color w:val="000000"/>
          <w:sz w:val="20"/>
        </w:rPr>
        <w:t>. Vistagen’s designated contact persons for Consultant is identified in Exhibit A.</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Invoicing</w:t>
      </w:r>
      <w:r>
        <w:rPr>
          <w:rFonts w:ascii="Times New Roman;serif" w:hAnsi="Times New Roman;serif"/>
          <w:b w:val="false"/>
          <w:color w:val="000000"/>
          <w:sz w:val="20"/>
        </w:rPr>
        <w:t>. Consultant shall keep accurate records of Services provided, hours worked, and authorized expenditures. Invoices shall be submitted monthly by email within ten (10) days after the month’s end, along with customary supporting documentation. Consultant shall submit a final invoice within thirty (30) days after the expiration or termination of this Agreement. Unless Vistagen authorizes later submission in writing, Vistagen has no obligation to pay invoices received later than sixty (60) days after the expiration or termination of this Agreement.</w:t>
      </w:r>
    </w:p>
    <w:p>
      <w:pPr>
        <w:pStyle w:val="TextBody"/>
        <w:bidi w:val="0"/>
        <w:spacing w:before="0" w:after="0"/>
        <w:ind w:left="0" w:right="0" w:firstLine="72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Payments</w:t>
      </w:r>
      <w:r>
        <w:rPr>
          <w:rFonts w:ascii="Times New Roman;serif" w:hAnsi="Times New Roman;serif"/>
          <w:b w:val="false"/>
          <w:color w:val="000000"/>
          <w:sz w:val="20"/>
        </w:rPr>
        <w:t xml:space="preserve">. Vistagen shall compensate Consultant for Services as described in Exhibit A. Vistagen shall pay such amounts to Consultant within thirty (30) days after receipt of a written invoice for Services. Disputed amounts may be withheld, and after such dispute is resolved, Vistagen will pay any additional amount determined to be due within thirty (30) days. Consultant must provide Vistagen with a completed Internal Revenue Service Form W-9 before receiving any payment under this Agreement, if not previously provided by Consultant to Vistagen.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Work Product, Deliverables, Intellectual Property</w:t>
      </w:r>
      <w:r>
        <w:rPr>
          <w:rFonts w:ascii="Times New Roman;serif" w:hAnsi="Times New Roman;serif"/>
          <w:b w:val="false"/>
          <w:color w:val="000000"/>
          <w:sz w:val="20"/>
        </w:rPr>
        <w:t xml:space="preserve">. All work created under this Agreement (collectively, “Deliverables”) belongs to Vistagen. Consultant shall promptly disclose and hereby assigns to Vistagen, without additional compensation, all rights to and ownership of the Deliverables and any intellectual property rights (“IPR”) related to such Deliverables to the full extent that Consultant has the legal right to make such an assignment. Consistent with the foregoing, Consultant shall sign all papers and take other actions, at Vistagen’s expense and reasonable request, to assign, secure, and enforce rights to such IPR. The foregoing assignment obligations do not apply to any invention developed by Consultant wholly outside of the Services.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that the Deliverables include works of authorship that are protectable by copyright, they will be considered “works made for hire,” as that term is defined in the United States Copyright Act. Vistagen may use the Deliverables for any and all purposes.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Confidential Information</w:t>
      </w:r>
      <w:r>
        <w:rPr>
          <w:rFonts w:ascii="Times New Roman;serif" w:hAnsi="Times New Roman;serif"/>
          <w:b w:val="false"/>
          <w:color w:val="000000"/>
          <w:sz w:val="20"/>
        </w:rPr>
        <w:t>. All information disclosed by one party (“Discloser”) to the other party (“Recipient”) will be deemed to be “Confidential Information.” Confidential Information may include, without limitation, any discovery, idea, technique, invention, process, formula, design, device, or know-how; any sample, compound, formulation, extract, media, vector, cell line, or prototype; any procedures for producing or using the foregoing; any data or information relating to the foregoing and any past, current and contemplated research and development activities, pre-clinical studies, clinical trials, and the like; any commercial, engineering, manufacturing, marketing, partnering, regulatory, servicing, financing or personnel matter, program or strategy, suppliers, contractors, clients, customers, employees, investors, partners or business opportunities and plans of a party, whether in oral, written, visual, graphic or electronic form. All Confidential Information (including all copies thereof) will always remain the property of Discloser. Confidential Information preferably will be marked as confidential, but any disclosure reasonably understood to be Confidential Information need not be so marked.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7.</w:t>
      </w:r>
      <w:r>
        <w:rPr>
          <w:rFonts w:ascii="Times New Roman;serif" w:hAnsi="Times New Roman;serif"/>
          <w:b w:val="false"/>
          <w:color w:val="000000"/>
          <w:sz w:val="20"/>
          <w:u w:val="single"/>
        </w:rPr>
        <w:t>Standard Exceptions</w:t>
      </w:r>
      <w:r>
        <w:rPr>
          <w:rFonts w:ascii="Times New Roman;serif" w:hAnsi="Times New Roman;serif"/>
          <w:b w:val="false"/>
          <w:color w:val="000000"/>
          <w:sz w:val="20"/>
        </w:rPr>
        <w:t>. Confidential Information will not include information that Recipient can demonstrate by competent written proof: (a) is now, or hereafter becomes, generally known or available in the public domain through no act or failure to act by Recipient; (b) is already known by Recipient at the time of receiving such information; (c) is hereafter furnished to Recipient by a third party, as a matter of right and without restriction on its disclosure; (d) is independently developed by Recipient without any use of Confidential Information; or (e) is approved for disclosure in writing by Discloser.</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8.</w:t>
      </w:r>
      <w:r>
        <w:rPr>
          <w:rFonts w:ascii="Times New Roman;serif" w:hAnsi="Times New Roman;serif"/>
          <w:b w:val="false"/>
          <w:color w:val="000000"/>
          <w:sz w:val="20"/>
          <w:u w:val="single"/>
        </w:rPr>
        <w:t>Compelled Disclosure</w:t>
      </w:r>
      <w:r>
        <w:rPr>
          <w:rFonts w:ascii="Times New Roman;serif" w:hAnsi="Times New Roman;serif"/>
          <w:b w:val="false"/>
          <w:color w:val="000000"/>
          <w:sz w:val="20"/>
        </w:rPr>
        <w:t>. Disclosure of Confidential Information by Recipient is allowed if such disclosure is: (a) made in response to a valid order of a court or other governmental body of the United States, a state or local authority having competent jurisdiction, or (b) otherwise required by law or regulation. In either case, Recipient must first have given reasonable prior notice to Discloser, to the extent legally permissible, and shall have made a reasonable effort, at Discloser’s request and expense, to obtain a protective order requiring that the Confidential Information so disclosed be used only for the purposes for which the order was issued or requirement made.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9.</w:t>
      </w:r>
      <w:r>
        <w:rPr>
          <w:rFonts w:ascii="Times New Roman;serif" w:hAnsi="Times New Roman;serif"/>
          <w:b w:val="false"/>
          <w:color w:val="000000"/>
          <w:sz w:val="20"/>
          <w:u w:val="single"/>
        </w:rPr>
        <w:t>Limitations on Use</w:t>
      </w:r>
      <w:r>
        <w:rPr>
          <w:rFonts w:ascii="Times New Roman;serif" w:hAnsi="Times New Roman;serif"/>
          <w:b w:val="false"/>
          <w:color w:val="000000"/>
          <w:sz w:val="20"/>
        </w:rPr>
        <w:t>. Recipient may use Confidential Information only to the extent required for this Agreement and nothing else. Recipient shall not make copies of the Confidential Information except as needed to provide Services. Recipient shall not disclose Confidential Information to third parties without Discloser’s written consent. When disclosure is authorized, Recipient may disclose Confidential Information of Discloser only to those bound by obligations regarding the use and protection of Confidential Information that are consistent with this Agreement and only as necessary for Consultant to provide Services. Recipient will not take any action to jeopardize, limit, or interfere with the Discloser’s ownership or rights concerning Discloser’s Confidential Information. Recipient shall not file or cause to be filed patent applications relating to Discloser’s Confidential Information, referencing the Discloser’s Confidential Information or on inventions including the Discloser’s Confidential Information without the express written consent of Discloser.</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10.</w:t>
      </w:r>
      <w:r>
        <w:rPr>
          <w:rFonts w:ascii="Times New Roman;serif" w:hAnsi="Times New Roman;serif"/>
          <w:b w:val="false"/>
          <w:color w:val="000000"/>
          <w:sz w:val="20"/>
          <w:u w:val="single"/>
        </w:rPr>
        <w:t>Maintenance of Confidentiality</w:t>
      </w:r>
      <w:r>
        <w:rPr>
          <w:rFonts w:ascii="Times New Roman;serif" w:hAnsi="Times New Roman;serif"/>
          <w:b w:val="false"/>
          <w:color w:val="000000"/>
          <w:sz w:val="20"/>
        </w:rPr>
        <w:t xml:space="preserve">. Recipient shall maintain all Confidential Information in trust and strict confidence. Recipient shall take reasonable measures to protect the confidentiality of and avoid the unauthorized disclosure and use of Confidential Information. Recipient shall reproduce Discloser’s proprietary rights notices on any such copies in the same way the original set forth notices. Without limiting the foregoing, Recipient shall take at least those measures used to protect their own proprietary and confidential information. Recipient shall be responsible for any breach of the obligations under this Agreement.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 xml:space="preserve">Term for Confidentiality Obligations. </w:t>
      </w:r>
      <w:r>
        <w:rPr>
          <w:rFonts w:ascii="Times New Roman;serif" w:hAnsi="Times New Roman;serif"/>
          <w:b w:val="false"/>
          <w:color w:val="000000"/>
          <w:sz w:val="20"/>
        </w:rPr>
        <w:t>The obligations regarding the protection and use of Confidential Information will terminate seven (7) years from the expiration or termination of this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0"/>
        </w:rPr>
        <w:t>12.</w:t>
      </w:r>
      <w:r>
        <w:rPr>
          <w:rFonts w:ascii="Times New Roman;serif" w:hAnsi="Times New Roman;serif"/>
          <w:b w:val="false"/>
          <w:color w:val="000000"/>
          <w:sz w:val="20"/>
          <w:u w:val="single"/>
        </w:rPr>
        <w:t>No Warranty for Confidential Information</w:t>
      </w:r>
      <w:r>
        <w:rPr>
          <w:rFonts w:ascii="Times New Roman;serif" w:hAnsi="Times New Roman;serif"/>
          <w:b w:val="false"/>
          <w:color w:val="000000"/>
          <w:sz w:val="20"/>
        </w:rPr>
        <w:t>. While a Discloser shall act in good faith by providing Confidential Information that they believe is accurate and adequate to achieve the purposes of this Agreement, ALL CONFIDENTIAL INFORMATION IS PROVIDED “AS IS.” NEITHER PARTY MAKES ANY EXPRESS, IMPLIED, OR OTHER WARRANTIES, INCLUDING AS TO THE ACCURACY, COMPLETENESS, OR FITNESS OF ANY CONFIDENTIAL INFORMATION DISCLOSED UNDER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13.</w:t>
      </w:r>
      <w:r>
        <w:rPr>
          <w:rFonts w:ascii="Times New Roman;serif" w:hAnsi="Times New Roman;serif"/>
          <w:b w:val="false"/>
          <w:color w:val="000000"/>
          <w:sz w:val="20"/>
          <w:u w:val="single"/>
        </w:rPr>
        <w:t>Term and Termination.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(a)This Agreement expires on December 31, 2027 (“Term”), which Term may be extended by mutual written agreement of the parties.</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(b)Vistagen may terminate this Agreement for any reason at any time with immediate effect by providing written notice. Consultant may terminate this Agreement for any reason by providing no less than thirty (30) days prior written notice to Vistagen, taking into account Vistagen’s reasonable business needs when determining the effective date of termination.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(c)Either party may terminate this Agreement if the other party commits a material breach of this Agreement that is not remedied within thirty (30) days after receiving written notice of such breach or within such other period as the parties agree is reasonable under the circumstances.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(d)Either party may terminate this Agreement immediately by providing written notice if the other party becomes insolvent or enters into bankruptcy, liquidation, or receivership.</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(e)Upon receipt of a termination notice, Consultant shall take prompt and reasonable steps to terminate further activities, minimize close-out costs related to Services, and submit a final invoice.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14.</w:t>
      </w:r>
      <w:r>
        <w:rPr>
          <w:rFonts w:ascii="Times New Roman;serif" w:hAnsi="Times New Roman;serif"/>
          <w:b w:val="false"/>
          <w:color w:val="000000"/>
          <w:sz w:val="20"/>
          <w:u w:val="single"/>
        </w:rPr>
        <w:t xml:space="preserve">Effects of Termination. </w:t>
      </w:r>
      <w:r>
        <w:rPr>
          <w:rFonts w:ascii="Times New Roman;serif" w:hAnsi="Times New Roman;serif"/>
          <w:b w:val="false"/>
          <w:color w:val="000000"/>
          <w:sz w:val="20"/>
        </w:rPr>
        <w:t>When this Agreement ends, Recipient shall promptly return or destroy (as directed by Discloser) all copies of Confidential Information, provide Discloser with all Deliverables, and confirm such actions in writing. However, Recipient may retain copies of Confidential Information as reasonably required to comply with their document retention policies or applicable law or to ensure their compliance with the provisions of this Agreement. In addition, Recipient shall not be obligated to destroy copies of Confidential Information remaining on their standard computer backup system. Any Confidential Information so retained will continue to be subject to the terms of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15.</w:t>
      </w:r>
      <w:r>
        <w:rPr>
          <w:rFonts w:ascii="Times New Roman;serif" w:hAnsi="Times New Roman;serif"/>
          <w:b w:val="false"/>
          <w:color w:val="000000"/>
          <w:sz w:val="20"/>
          <w:u w:val="single"/>
        </w:rPr>
        <w:t xml:space="preserve">Remedies. </w:t>
      </w:r>
      <w:r>
        <w:rPr>
          <w:rFonts w:ascii="Times New Roman;serif" w:hAnsi="Times New Roman;serif"/>
          <w:b w:val="false"/>
          <w:color w:val="000000"/>
          <w:sz w:val="20"/>
        </w:rPr>
        <w:t>Both parties understand and agree that money damages may not be a sufficient remedy for a breach of this Agreement and that the aggrieved party will be entitled to seek specific performance, injunctive relief and other equitable relief as a remedy for any such breach. Such remedy will not be deemed to be the exclusive remedy for a breach of this Agreement but will be in addition to other remedies available at law or in equity</w:t>
      </w:r>
      <w:r>
        <w:rPr>
          <w:rFonts w:ascii="Times New Roman;serif" w:hAnsi="Times New Roman;serif"/>
          <w:b w:val="false"/>
          <w:color w:val="000000"/>
          <w:sz w:val="20"/>
          <w:u w:val="single"/>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16.</w:t>
      </w:r>
      <w:r>
        <w:rPr>
          <w:rFonts w:ascii="Times New Roman;serif" w:hAnsi="Times New Roman;serif"/>
          <w:b w:val="false"/>
          <w:color w:val="000000"/>
          <w:sz w:val="20"/>
          <w:u w:val="single"/>
        </w:rPr>
        <w:t>Securities Laws</w:t>
      </w:r>
      <w:r>
        <w:rPr>
          <w:rFonts w:ascii="Times New Roman;serif" w:hAnsi="Times New Roman;serif"/>
          <w:b w:val="false"/>
          <w:color w:val="000000"/>
          <w:sz w:val="20"/>
        </w:rPr>
        <w:t>. Vistagen is a publicly traded company. Consultant acknowledges that: (i) trading in securities of Vistagen is subject to applicable securities legislation; (ii) as a result of the disclosure of Confidential Information by Vistagen to Consultant, Consultant may possess material, non-public information (“MNPI”) of Vistagen; and (iii) any trading by Consultant in the securities of Vistagen while in possession of such MNPI may be a violation of applicable securities legislation and is at all times prohibited.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17.</w:t>
      </w:r>
      <w:r>
        <w:rPr>
          <w:rFonts w:ascii="Times New Roman;serif" w:hAnsi="Times New Roman;serif"/>
          <w:b w:val="false"/>
          <w:color w:val="000000"/>
          <w:sz w:val="20"/>
          <w:u w:val="single"/>
        </w:rPr>
        <w:t xml:space="preserve">Background Technology, No License or Implied Rights. </w:t>
      </w:r>
      <w:r>
        <w:rPr>
          <w:rFonts w:ascii="Times New Roman;serif" w:hAnsi="Times New Roman;serif"/>
          <w:b w:val="false"/>
          <w:color w:val="000000"/>
          <w:sz w:val="20"/>
        </w:rPr>
        <w:t>All IPR and materials owned or under either party’s control before the Effective Date or developed wholly outside of this Agreement (“Background Technology”) are and will remain the property of that party. No rights or licenses to copyrights, inventions, know-how, patents, trademarks, or any other IPR are implied or granted under this Agreement, except that Consultant may utilize Vistagen’s Background Technology to provide Services.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18.</w:t>
      </w:r>
      <w:r>
        <w:rPr>
          <w:rFonts w:ascii="Times New Roman;serif" w:hAnsi="Times New Roman;serif"/>
          <w:b w:val="false"/>
          <w:color w:val="000000"/>
          <w:sz w:val="20"/>
          <w:u w:val="single"/>
        </w:rPr>
        <w:t>Representations by Consultant.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7"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(a)Consultant represents that he has and shall maintain all rights, licenses, permits, and consents that may be required to perform the Services, including, as applicable, a business license or business tax registration.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(b)Consultant represents that, to the best of his knowledge and information, any technology, materials, or intellectual property used to provide the Services will not knowingly violate any IPR or other proprietary rights of any third party.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(c)Consultant represents that, during the Term of this Agreement, he will not be a party to any arrangements, contractually or otherwise, that might reasonably be expected to create a conflict of interest or to interfere with or diminish his ability to provide the Services.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(d)Consultant represents that he will utilize appropriate administrative, electronic, physical, and technical safeguards to protect Vistagen’s Confidential Information that are no less rigorous than accepted industry practices</w:t>
      </w:r>
      <w:r>
        <w:rPr>
          <w:rFonts w:ascii="Times New Roman;serif" w:hAnsi="Times New Roman;serif"/>
          <w:b w:val="false"/>
          <w:color w:val="C00000"/>
          <w:sz w:val="2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(e)Each Party represents that, in the performance of their permitted activities under this Agreement, they shall comply with all applicable laws, including those related to anti-corruption, anti-bribery, data privacy, export control, securities laws and regulations, and patient health and privacy information, including the Federal Food, Drug and Cosmetic Act, the Health Insurance Portability and Accountability Act of 1996, as amended by the HITECH Act and regulations promulgated from time to time thereunder, and Title 21 of the Code of Federal Regulations and the standards for conduct of clinical research described in the International Conference on Harmonization Guidelines for Good Clinical Practices.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(f)Consultant represents that he has not been debarred or is under consideration to be debarred under the Federal Food, Drug, and Cosmetic Act, 21 U.S.C. §335(a) or (b) or any equivalent state or local law or regulation.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19.</w:t>
      </w:r>
      <w:r>
        <w:rPr>
          <w:rFonts w:ascii="Times New Roman;serif" w:hAnsi="Times New Roman;serif"/>
          <w:b w:val="false"/>
          <w:color w:val="000000"/>
          <w:sz w:val="20"/>
          <w:u w:val="single"/>
        </w:rPr>
        <w:t>Notice</w:t>
      </w:r>
      <w:r>
        <w:rPr>
          <w:rFonts w:ascii="Times New Roman;serif" w:hAnsi="Times New Roman;serif"/>
          <w:b w:val="false"/>
          <w:color w:val="000000"/>
          <w:sz w:val="20"/>
        </w:rPr>
        <w:t>. All demands and notices under this Agreement, other than routine communications, will be in writing, in each case, to the other Party at their given address. Either Party may give any notice under this Agreement by customary means (including personal delivery, overnight courier, or prepaid, first-class, certified mail), but expressly not by fax or email, and such notice or other communication will be deemed duly given when the Party for whom it is intended receives it. Any Party may change the address to deliver notices and other communications.</w:t>
      </w:r>
    </w:p>
    <w:p>
      <w:pPr>
        <w:pStyle w:val="TextBody"/>
        <w:bidi w:val="0"/>
        <w:spacing w:before="0" w:after="0"/>
        <w:ind w:left="0" w:right="0" w:hanging="36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to Vistagen, such demand or notice shall be marked “Attention: Reid Adler, JD, Chief Legal Officer,” A mandatory copy shall be emailed to </w:t>
      </w:r>
      <w:r>
        <w:rPr>
          <w:rFonts w:ascii="Times New Roman;serif" w:hAnsi="Times New Roman;serif"/>
          <w:b w:val="false"/>
          <w:color w:val="000000"/>
          <w:sz w:val="20"/>
          <w:u w:val="single"/>
        </w:rPr>
        <w:t>notice@vistagen.com</w:t>
      </w:r>
      <w:r>
        <w:rPr>
          <w:rFonts w:ascii="Times New Roman;serif" w:hAnsi="Times New Roman;serif"/>
          <w:b w:val="false"/>
          <w:color w:val="000000"/>
          <w:sz w:val="20"/>
        </w:rPr>
        <w:t>, which shall not constitute notice under this section.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20.</w:t>
      </w:r>
      <w:r>
        <w:rPr>
          <w:rFonts w:ascii="Times New Roman;serif" w:hAnsi="Times New Roman;serif"/>
          <w:b w:val="false"/>
          <w:color w:val="000000"/>
          <w:sz w:val="20"/>
          <w:u w:val="single"/>
        </w:rPr>
        <w:t>Dispute Resolution</w:t>
      </w:r>
      <w:r>
        <w:rPr>
          <w:rFonts w:ascii="Times New Roman;serif" w:hAnsi="Times New Roman;serif"/>
          <w:b w:val="false"/>
          <w:color w:val="000000"/>
          <w:sz w:val="20"/>
        </w:rPr>
        <w:t>. The parties shall first attempt to resolve any dispute by a good faith meeting between the signatories or their designated representatives. After that, the parties may, at their sole discretion, utilize any other available mechanism, including litigation.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21.</w:t>
      </w:r>
      <w:r>
        <w:rPr>
          <w:rFonts w:ascii="Times New Roman;serif" w:hAnsi="Times New Roman;serif"/>
          <w:b w:val="false"/>
          <w:color w:val="000000"/>
          <w:sz w:val="20"/>
          <w:u w:val="single"/>
        </w:rPr>
        <w:t>LIMITATION OF LIABILITY</w:t>
      </w:r>
      <w:r>
        <w:rPr>
          <w:rFonts w:ascii="Times New Roman;serif" w:hAnsi="Times New Roman;serif"/>
          <w:b w:val="false"/>
          <w:color w:val="000000"/>
          <w:sz w:val="20"/>
        </w:rPr>
        <w:t xml:space="preserve">. NEITHER PARTY SHALL BE LIABLE TO THE OTHER PARTY FOR ANY INDIRECT, INCIDENTAL, CONSEQUENTIAL, SPECIAL, PUNITIVE, OR EXEMPLARY DAMAGES OR ANY LOSS OF REVENUE OR PROFITS ARISING OUT OF THIS AGREEMENT REGARDLESS OF WHETHER SUCH PARTY HAS BEEN ADVISED OF OR IS AWARE THAT SUCH DAMAGES HAVE BEEN OR MAY BE INCURRED.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22.</w:t>
      </w:r>
      <w:r>
        <w:rPr>
          <w:rFonts w:ascii="Times New Roman;serif" w:hAnsi="Times New Roman;serif"/>
          <w:b w:val="false"/>
          <w:color w:val="000000"/>
          <w:sz w:val="20"/>
          <w:u w:val="single"/>
        </w:rPr>
        <w:t>Survival</w:t>
      </w:r>
      <w:r>
        <w:rPr>
          <w:rFonts w:ascii="Times New Roman;serif" w:hAnsi="Times New Roman;serif"/>
          <w:b w:val="false"/>
          <w:color w:val="000000"/>
          <w:sz w:val="20"/>
        </w:rPr>
        <w:t>. The provisions of this Agreement that expressly or by reasonable implication are intended to come into force or survive termination or expiration of this Agreement will survive to achieve the purposes of this Agreement, including the provisions regarding confidentiality, limitation of liability, and indemnification</w:t>
      </w:r>
      <w:r>
        <w:rPr>
          <w:rFonts w:ascii="Times New Roman;serif" w:hAnsi="Times New Roman;serif"/>
          <w:b w:val="false"/>
          <w:color w:val="000000"/>
          <w:sz w:val="20"/>
          <w:u w:val="single"/>
        </w:rPr>
        <w:t>.</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0"/>
        </w:rPr>
        <w:t>23.</w:t>
      </w:r>
      <w:r>
        <w:rPr>
          <w:rFonts w:ascii="Times New Roman;serif" w:hAnsi="Times New Roman;serif"/>
          <w:b w:val="false"/>
          <w:color w:val="000000"/>
          <w:sz w:val="20"/>
          <w:u w:val="single"/>
        </w:rPr>
        <w:t xml:space="preserve">Independent Contractors.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relationship between the parties will be that of independent contractors. Consultant will be free from Vistagen’s control and direction in connection with the performance of the Services. Consistent with the nature of the Services, Consultant shall set his hours and location of work. Neither party shall have the authority to act as the other party’s agent or to supervise the other party’s employees. Vistagen will not withhold taxes or provide any benefits to Consultant, such as time off, holidays, or other employee benefits.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(b)Consultant and Vistagen agree that Consultant shall be responsible for independently obtaining all medical, dental, health, injury, travel delay, and other personal insurance coverage. Consultant agrees to the requirements and limitations of these insurances and acknowledges their agreement by signing this Agreement below.</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(c)Subject to the terms of this Agreement, Consultant shall be free to enter into similar consulting arrangements with third parties without the need for approval from Vistagen.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24.</w:t>
      </w:r>
      <w:r>
        <w:rPr>
          <w:rFonts w:ascii="Times New Roman;serif" w:hAnsi="Times New Roman;serif"/>
          <w:b w:val="false"/>
          <w:color w:val="000000"/>
          <w:sz w:val="20"/>
          <w:u w:val="single"/>
        </w:rPr>
        <w:t xml:space="preserve">Miscellaneous.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parties warrant that they have the authority to enter into this Agreement, to provide any Confidential Information that will be disclosed to the other party and that the terms of this Agreement will not cause a breach of any other contract to which such party is bound.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parties acknowledge that either party may now, or in the future, evaluate or do business with competitors or potential competitors of the other party. Subject to their obligations under this Agreement, neither the execution of this Agreement, the disclosure or receipt of Confidential Information, nor the term of this Agreement shall in any way restrict or preclude such activities.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(c)Neither party shall use the other party’s name, logo, trademark, or likeness in any public disclosures in any manner that would imply endorsement. Vistagen may identify Consultant and describe this Agreement in non-public communications with its agents or analysts or actual or potential partners, investors, sites, or investigators who reasonably need such information. Either party may disclose this Agreement as required by law.</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(d)Neither this Agreement nor any rights or obligations under this Agreement are assignable by either party without the prior written approval of the other party, except that Vistagen may assign this Agreement to an affiliate without such consent, and Vistagen may assign this Agreement without such consent in the context of a sale or transfer of all or substantially all of its assets that relate to this Agreement.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(e)This Agreement will be governed by the laws of the State of California as applied to disputes involving parties located entirely within the State and without giving effect to its choice of law provisions. Any claim or controversy arising out of or related to this Agreement will be submitted to a court of competent jurisdiction in California, and each Party hereby consents to the jurisdiction of such court. Prior to initiating any litigation, the Parties agree to attempt to resolve any such claim or controversy through good faith discussions. To the extent permissible by law, the Parties agree to participate in hearings, depositions, and other proceedings remotely or virtually to minimize costs and burdens.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(f)This Agreement constitutes the parties' final, complete, and exclusive agreement and supersedes all prior and contemporaneous understandings and agreements relating to its subject matter. This Agreement, including Exhibit A, may not be changed, modified, amended, or supplemented except by the written consent of both parties. This Agreement will control in case of any conflict with Exhibit A unless the latter explicitly states that it will supersede this Agreement.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89"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(g)Section headings are included for convenience only and will not be deemed part of this Agreement. However, the Recitals above are true and correct and are incorporated by reference.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(h)This Agreement has been negotiated by the parties and shall be interpreted reasonably per its terms and without any construction in favor of or against either party. This Agreement has been prepared in English, which will control its interpretation.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(i)Any failure to enforce any provision of this Agreement will not constitute a waiver thereof or any other provision, nor will any single or partial exercise preclude any other or further exercise thereof or the exercise of any other right, power, or privilege under this Agreement. To be effective, any such waiver must be in writing and signed by the party against whom the waiver is sought to be enforced.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(j)If any one or more of the provisions of this Agreement is held to be invalid or unenforceable by any court of competent jurisdiction from which no appeal can be or is taken, the provision will be considered severed from this Agreement and will not serve to invalidate any of its remaining provisions. The parties shall make a good faith effort to replace any invalid or unenforceable provision with a valid and enforceable one such that the objectives contemplated by the parties when entering into this Agreement may be realized.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(k)Neither party shall be deemed to have defaulted under or to be in breach of this Agreement for failure or delay in fulfilling material obligations when such failure or delay is directly caused by an event outside of their reasonable control, including war, acts of war, insurrections, acts of terrorism, epidemics or pandemics, or acts of God (a “Force Majeure Event”). Each party shall inform the other promptly and in writing of any such Force Majeure Event, and the parties shall discuss the situation and, acting in good faith, agree on the appropriate course of action under the circumstances. Absent such good faith agreement, either party may terminate this Agreement.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(l)For the convenience of the parties, this Agreement may be executed in counterparts, each of which will be deemed an original, but all of which together will constitute the same instrument. This Agreement may be executed in PDF form or by other electronically transmitted signatures, such as DocuSign, and these signatures will be deemed binding on each party as if they were the original signatures.</w:t>
      </w:r>
    </w:p>
    <w:p>
      <w:pPr>
        <w:pStyle w:val="TextBody"/>
        <w:bidi w:val="0"/>
        <w:spacing w:before="0" w:after="0"/>
        <w:ind w:left="0" w:right="0" w:hanging="36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(m)There are no third-party beneficiaries of this Agreement. </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(n)</w:t>
      </w:r>
      <w:r>
        <w:rPr>
          <w:color w:val="000000"/>
        </w:rPr>
        <w:t xml:space="preserve"> </w:t>
      </w:r>
      <w:r>
        <w:rPr>
          <w:rFonts w:ascii="Times New Roman;serif" w:hAnsi="Times New Roman;serif"/>
          <w:b w:val="false"/>
          <w:color w:val="000000"/>
          <w:sz w:val="20"/>
        </w:rPr>
        <w:t>Vistagen believes that the people on our team, including consultants, contractors, and various service providers, are one of our greatest assets. We prioritize diversity and inclusion because they are vital to unlocking the potential of our people and building a successful business. We encourage our consultants to join us in making this a priority for themselves.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rest of this page is left blank intentionally.]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90" name="Frame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party is signing this Agreement on the date stated below with the party’s authorized signature.</w:t>
      </w:r>
    </w:p>
    <w:p>
      <w:pPr>
        <w:pStyle w:val="TextBody"/>
        <w:bidi w:val="0"/>
        <w:spacing w:before="0" w:after="0"/>
        <w:jc w:val="both"/>
        <w:rPr/>
      </w:pPr>
      <w:r>
        <w:rPr/>
      </w:r>
    </w:p>
    <w:p>
      <w:pPr>
        <w:pStyle w:val="TextBody"/>
        <w:bidi w:val="0"/>
        <w:spacing w:before="0" w:after="0"/>
        <w:jc w:val="both"/>
        <w:rPr/>
      </w:pPr>
      <w:r>
        <w:rPr/>
      </w:r>
    </w:p>
    <w:tbl>
      <w:tblPr>
        <w:tblW w:w="6780" w:type="dxa"/>
        <w:jc w:val="left"/>
        <w:tblInd w:w="0" w:type="dxa"/>
        <w:tblLayout w:type="fixed"/>
        <w:tblCellMar>
          <w:top w:w="28" w:type="dxa"/>
          <w:left w:w="28" w:type="dxa"/>
          <w:bottom w:w="28" w:type="dxa"/>
          <w:right w:w="28" w:type="dxa"/>
        </w:tblCellMar>
      </w:tblPr>
      <w:tblGrid>
        <w:gridCol w:w="1396"/>
        <w:gridCol w:w="1228"/>
        <w:gridCol w:w="1231"/>
        <w:gridCol w:w="857"/>
        <w:gridCol w:w="857"/>
        <w:gridCol w:w="1211"/>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VISTAGEN THERAPEUTICS, INC.</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Shawn K. Singh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0"/>
              </w:rPr>
              <w:t xml:space="preserve">Name: </w:t>
            </w:r>
            <w:r>
              <w:rPr>
                <w:rFonts w:ascii="Times New Roman;serif" w:hAnsi="Times New Roman;serif"/>
                <w:b w:val="false"/>
                <w:color w:val="000000"/>
                <w:sz w:val="20"/>
                <w:u w:val="single"/>
              </w:rPr>
              <w:t>Shawn K. Singh, JD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0"/>
              </w:rPr>
              <w:t xml:space="preserve">Title: </w:t>
            </w:r>
            <w:r>
              <w:rPr>
                <w:rFonts w:ascii="Times New Roman;serif" w:hAnsi="Times New Roman;serif"/>
                <w:b w:val="false"/>
                <w:color w:val="000000"/>
                <w:sz w:val="20"/>
                <w:u w:val="single"/>
              </w:rPr>
              <w:t>President and Chief Executive Officer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0"/>
              </w:rPr>
              <w:t xml:space="preserve">Date: </w:t>
            </w:r>
            <w:r>
              <w:rPr>
                <w:color w:val="000000"/>
                <w:u w:val="single"/>
              </w:rPr>
              <w:t>    </w:t>
            </w:r>
            <w:r>
              <w:rPr>
                <w:rFonts w:ascii="Times New Roman;serif" w:hAnsi="Times New Roman;serif"/>
                <w:b w:val="false"/>
                <w:color w:val="000000"/>
                <w:sz w:val="20"/>
                <w:u w:val="single"/>
              </w:rPr>
              <w:t>September 9, 2025            </w:t>
            </w:r>
          </w:p>
        </w:tc>
        <w:tc>
          <w:tcPr>
            <w:tcW w:w="292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Jerry Gin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0"/>
              </w:rPr>
              <w:t xml:space="preserve">Name: </w:t>
            </w:r>
            <w:r>
              <w:rPr>
                <w:rFonts w:ascii="Times New Roman;serif" w:hAnsi="Times New Roman;serif"/>
                <w:b w:val="false"/>
                <w:color w:val="000000"/>
                <w:sz w:val="20"/>
                <w:u w:val="single"/>
              </w:rPr>
              <w:t>Jerry Gin, Ph.D.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0"/>
              </w:rPr>
              <w:t xml:space="preserve">Date: </w:t>
            </w:r>
            <w:r>
              <w:rPr>
                <w:color w:val="000000"/>
                <w:u w:val="single"/>
              </w:rPr>
              <w:t>    </w:t>
            </w:r>
            <w:r>
              <w:rPr>
                <w:rFonts w:ascii="Times New Roman;serif" w:hAnsi="Times New Roman;serif"/>
                <w:b w:val="false"/>
                <w:color w:val="000000"/>
                <w:sz w:val="20"/>
                <w:u w:val="single"/>
              </w:rPr>
              <w:t>September 9, 2025            </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CONSULTING SERVICES AGREEMENT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Services Description: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Consultant agrees to provide these Services as requested: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Advise Vistagen on certain matters related to intranasal drug delivery, intranasal medical device development, and associated regulatory approvals, particularly as it relates to Vistagen’s intranasal pherine drug and nasal spray device and associated development plans, generally, and Vistagen’s PACE program, specifically.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Compensation: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Vistagen agrees to compensate Consultant for requested Services by check or ACH to a U.S. bank account. Consultant shall submit invoices via email to </w:t>
      </w:r>
      <w:r>
        <w:rPr>
          <w:rFonts w:ascii="Times New Roman;serif" w:hAnsi="Times New Roman;serif"/>
          <w:b w:val="false"/>
          <w:color w:val="000000"/>
          <w:sz w:val="20"/>
          <w:u w:val="single"/>
        </w:rPr>
        <w:t>accounting@vistagen.com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hourly rate is $350/hour, and the parties estimate about 5 to 10 hours per month of services to be provided. Vistagen's written approval in advance is required for actual hours worked exceeding 10 hours per month.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Vistagen shall reimburse reasonable expenses at cost. Substantial expenses not in the usual course of business, such as airfare and hotel accommodations, must be pre-approved by Vistagen in writing.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Vistagen Contact Persons and email: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Louis Monti, MD, PhD, SVP Translational Medicine, and Reid Adler, JD, CLO.</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lmonti@vistagen.com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radler@vistagen.com</w:t>
      </w:r>
      <w:r>
        <w:rPr>
          <w:rFonts w:ascii="Times New Roman;serif" w:hAnsi="Times New Roman;serif"/>
          <w:b/>
          <w:color w:val="000000"/>
          <w:sz w:val="2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CONSULTING SERVICES AGREEMENT</w:t>
      </w:r>
    </w:p>
    <w:p>
      <w:pPr>
        <w:pStyle w:val="TextBody"/>
        <w:bidi w:val="0"/>
        <w:spacing w:before="2"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This Consulting Services Agreement (“Agreement”) will be effective on October 15, 2025, when signed by both parties (“Effective Date”) and is made by and between </w:t>
      </w:r>
      <w:r>
        <w:rPr>
          <w:rFonts w:ascii="Times New Roman;serif" w:hAnsi="Times New Roman;serif"/>
          <w:b/>
          <w:color w:val="000000"/>
          <w:sz w:val="20"/>
        </w:rPr>
        <w:t>Vistagen Therapeutics, Inc.</w:t>
      </w:r>
      <w:r>
        <w:rPr>
          <w:rFonts w:ascii="Times New Roman;serif" w:hAnsi="Times New Roman;serif"/>
          <w:b w:val="false"/>
          <w:color w:val="000000"/>
          <w:sz w:val="20"/>
        </w:rPr>
        <w:t xml:space="preserve">, a Nevada corporation, having an address at 343 Allerton Avenue, South San Francisco, CA 94080 (“Vistagen”), and </w:t>
      </w:r>
      <w:r>
        <w:rPr>
          <w:rFonts w:ascii="Times New Roman;serif" w:hAnsi="Times New Roman;serif"/>
          <w:b/>
          <w:color w:val="000000"/>
          <w:sz w:val="20"/>
        </w:rPr>
        <w:t>Cynthia L. Anderson</w:t>
      </w:r>
      <w:r>
        <w:rPr>
          <w:rFonts w:ascii="Times New Roman;serif" w:hAnsi="Times New Roman;serif"/>
          <w:b w:val="false"/>
          <w:color w:val="000000"/>
          <w:sz w:val="20"/>
        </w:rPr>
        <w:t>, an independent consultant, (“Consultant”). In this Agreement, Vistagen and Consultant are sometimes referred to individually as a “Party” and together as the “Parties.”</w:t>
      </w:r>
    </w:p>
    <w:p>
      <w:pPr>
        <w:pStyle w:val="TextBody"/>
        <w:bidi w:val="0"/>
        <w:spacing w:lineRule="auto" w:line="288" w:before="292" w:after="283"/>
        <w:jc w:val="center"/>
        <w:rPr>
          <w:rFonts w:ascii="Times New Roman;serif" w:hAnsi="Times New Roman;serif"/>
          <w:b/>
          <w:color w:val="000000"/>
          <w:sz w:val="20"/>
        </w:rPr>
      </w:pPr>
      <w:r>
        <w:rPr>
          <w:rFonts w:ascii="Times New Roman;serif" w:hAnsi="Times New Roman;serif"/>
          <w:b/>
          <w:color w:val="000000"/>
          <w:sz w:val="20"/>
        </w:rPr>
        <w:t>RECITALS:</w:t>
      </w:r>
    </w:p>
    <w:p>
      <w:pPr>
        <w:pStyle w:val="TextBody"/>
        <w:bidi w:val="0"/>
        <w:spacing w:lineRule="auto" w:line="288" w:before="293" w:after="283"/>
        <w:jc w:val="left"/>
        <w:rPr>
          <w:rFonts w:ascii="Times New Roman;serif" w:hAnsi="Times New Roman;serif"/>
          <w:b w:val="false"/>
          <w:color w:val="000000"/>
          <w:sz w:val="20"/>
        </w:rPr>
      </w:pPr>
      <w:r>
        <w:rPr>
          <w:rFonts w:ascii="Times New Roman;serif" w:hAnsi="Times New Roman;serif"/>
          <w:b w:val="false"/>
          <w:color w:val="000000"/>
          <w:sz w:val="20"/>
        </w:rPr>
        <w:t>Vistagen is a late clinical-stage biopharmaceutical company leveraging a deep understanding of nose-to-brain neurocircuitry to develop and commercialize a broad and diverse pipeline of clinical-stage product candidates from a new class of intranasal therapies called pherines for treating multiple highly prevalent indications, including social anxiety disorder, major depressive disorder, and vasomotor symptoms (hot flashes) associated with menopause.</w:t>
      </w:r>
    </w:p>
    <w:p>
      <w:pPr>
        <w:pStyle w:val="TextBody"/>
        <w:bidi w:val="0"/>
        <w:spacing w:lineRule="auto" w:line="288" w:before="292"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Consultant has substantial expertise in performing senior management services customarily consistent with the duties and responsibilities of a Chief Financial Officer, and principal accounting and finance officer of a publicly-held, clinical-stage biopharmaceutical company. Consultant previously served as Vistagen’s Chief Financial Officer and principal financial and accounting officer from August 21, 2023, until the Effective Date. </w:t>
      </w:r>
    </w:p>
    <w:p>
      <w:pPr>
        <w:pStyle w:val="TextBody"/>
        <w:bidi w:val="0"/>
        <w:spacing w:lineRule="auto" w:line="288" w:before="292" w:after="283"/>
        <w:jc w:val="left"/>
        <w:rPr>
          <w:rFonts w:ascii="Times New Roman;serif" w:hAnsi="Times New Roman;serif"/>
          <w:b w:val="false"/>
          <w:color w:val="000000"/>
          <w:sz w:val="20"/>
        </w:rPr>
      </w:pPr>
      <w:r>
        <w:rPr>
          <w:rFonts w:ascii="Times New Roman;serif" w:hAnsi="Times New Roman;serif"/>
          <w:b w:val="false"/>
          <w:color w:val="000000"/>
          <w:sz w:val="20"/>
        </w:rPr>
        <w:t>As a result of Consultant’s experience and service to Vistagen, operations, the Parties desire to establish terms for Consultant to assist with the transition to her successor.</w:t>
      </w:r>
    </w:p>
    <w:p>
      <w:pPr>
        <w:pStyle w:val="TextBody"/>
        <w:bidi w:val="0"/>
        <w:spacing w:lineRule="auto" w:line="288" w:before="290" w:after="283"/>
        <w:jc w:val="left"/>
        <w:rPr>
          <w:rFonts w:ascii="Times New Roman;serif" w:hAnsi="Times New Roman;serif"/>
          <w:b/>
          <w:color w:val="000000"/>
          <w:sz w:val="20"/>
        </w:rPr>
      </w:pPr>
      <w:r>
        <w:rPr>
          <w:rFonts w:ascii="Times New Roman;serif" w:hAnsi="Times New Roman;serif"/>
          <w:b/>
          <w:color w:val="000000"/>
          <w:sz w:val="20"/>
        </w:rPr>
        <w:t>The Parties therefore agree as follows:</w:t>
      </w:r>
    </w:p>
    <w:p>
      <w:pPr>
        <w:pStyle w:val="TextBody"/>
        <w:bidi w:val="0"/>
        <w:spacing w:lineRule="auto" w:line="288" w:before="285" w:after="283"/>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u w:val="single"/>
        </w:rPr>
        <w:t>Services</w:t>
      </w:r>
      <w:r>
        <w:rPr>
          <w:rFonts w:ascii="Times New Roman;serif" w:hAnsi="Times New Roman;serif"/>
          <w:b w:val="false"/>
          <w:color w:val="000000"/>
          <w:sz w:val="20"/>
        </w:rPr>
        <w:t>. Consultant shall provide the services described in Exhibit “A” to this Agreement (the “Services”). Consultant shall perform the Services in good faith and with the care reasonably expected for such activities by appropriately experienced professionals in the biopharmaceutical industry.</w:t>
      </w:r>
    </w:p>
    <w:p>
      <w:pPr>
        <w:pStyle w:val="TextBody"/>
        <w:bidi w:val="0"/>
        <w:spacing w:lineRule="auto" w:line="288" w:before="292" w:after="283"/>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0"/>
          <w:u w:val="single"/>
        </w:rPr>
        <w:t>Vistagen Contact Persons</w:t>
      </w:r>
      <w:r>
        <w:rPr>
          <w:rFonts w:ascii="Times New Roman;serif" w:hAnsi="Times New Roman;serif"/>
          <w:b w:val="false"/>
          <w:color w:val="000000"/>
          <w:sz w:val="20"/>
        </w:rPr>
        <w:t>. Vistagen’s designated contact persons for Consultant is identified in Exhibit A.</w:t>
      </w:r>
    </w:p>
    <w:p>
      <w:pPr>
        <w:pStyle w:val="TextBody"/>
        <w:bidi w:val="0"/>
        <w:spacing w:lineRule="auto" w:line="288" w:before="293" w:after="283"/>
        <w:ind w:left="0" w:right="0" w:hanging="360"/>
        <w:jc w:val="left"/>
        <w:rPr/>
      </w:pPr>
      <w:r>
        <w:rPr>
          <w:rFonts w:ascii="Times New Roman;serif" w:hAnsi="Times New Roman;serif"/>
          <w:b w:val="false"/>
          <w:color w:val="000000"/>
          <w:sz w:val="20"/>
        </w:rPr>
        <w:t>3.</w:t>
      </w:r>
      <w:r>
        <w:rPr>
          <w:rFonts w:ascii="Times New Roman;serif" w:hAnsi="Times New Roman;serif"/>
          <w:b w:val="false"/>
          <w:color w:val="000000"/>
          <w:sz w:val="20"/>
          <w:u w:val="single"/>
        </w:rPr>
        <w:t>Invoicing</w:t>
      </w:r>
      <w:r>
        <w:rPr>
          <w:rFonts w:ascii="Times New Roman;serif" w:hAnsi="Times New Roman;serif"/>
          <w:b w:val="false"/>
          <w:color w:val="000000"/>
          <w:sz w:val="20"/>
        </w:rPr>
        <w:t>. Consultant shall keep accurate records of Services provided, hours worked, and authorized expenditures. Invoices shall be submitted monthly by email within ten (10) days after the month’s end, along with customary supporting documentation. Consultant shall submit a final invoice within thirty (30) days after the expiration or termination of this Agreement. Unless Vistagen authorizes later submission in writing, Vistagen has no obligation to pay invoices received later than sixty (60) days after the expiration or termination of this Agreement.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rFonts w:ascii="Times New Roman;serif" w:hAnsi="Times New Roman;serif"/>
          <w:b w:val="false"/>
          <w:color w:val="000000"/>
          <w:sz w:val="20"/>
          <w:u w:val="single"/>
        </w:rPr>
        <w:t>Payments</w:t>
      </w:r>
      <w:r>
        <w:rPr>
          <w:rFonts w:ascii="Times New Roman;serif" w:hAnsi="Times New Roman;serif"/>
          <w:b w:val="false"/>
          <w:color w:val="000000"/>
          <w:sz w:val="20"/>
        </w:rPr>
        <w:t>. Vistagen shall compensate Consultant for Services as described in Exhibit A. Vistagen shall pay such amounts to Consultant within thirty (30) days after receipt of a written invoice for Services. Disputed amounts may be withheld, and after such dispute is resolved, Vistagen will pay any additional amount determined to be due within thirty (30) days. Consultant must provide Vistagen with a completed Internal Revenue Service Form W-9 before receiving any payment under this Agreement, if not previously provided by Consultant to Vistagen.</w:t>
      </w:r>
    </w:p>
    <w:p>
      <w:pPr>
        <w:pStyle w:val="TextBody"/>
        <w:bidi w:val="0"/>
        <w:spacing w:before="1" w:after="283"/>
        <w:jc w:val="left"/>
        <w:rPr/>
      </w:pPr>
      <w:r>
        <w:rPr/>
      </w:r>
    </w:p>
    <w:p>
      <w:pPr>
        <w:pStyle w:val="TextBody"/>
        <w:bidi w:val="0"/>
        <w:spacing w:lineRule="auto" w:line="288"/>
        <w:ind w:left="0" w:right="0" w:hanging="360"/>
        <w:jc w:val="left"/>
        <w:rPr/>
      </w:pPr>
      <w:r>
        <w:rPr>
          <w:rFonts w:ascii="Times New Roman;serif" w:hAnsi="Times New Roman;serif"/>
          <w:b w:val="false"/>
          <w:color w:val="000000"/>
          <w:sz w:val="20"/>
        </w:rPr>
        <w:t>5.</w:t>
      </w:r>
      <w:r>
        <w:rPr>
          <w:rFonts w:ascii="Times New Roman;serif" w:hAnsi="Times New Roman;serif"/>
          <w:b w:val="false"/>
          <w:color w:val="000000"/>
          <w:sz w:val="20"/>
          <w:u w:val="single"/>
        </w:rPr>
        <w:t>Work Product, Deliverables, Intellectual Property</w:t>
      </w:r>
      <w:r>
        <w:rPr>
          <w:rFonts w:ascii="Times New Roman;serif" w:hAnsi="Times New Roman;serif"/>
          <w:b w:val="false"/>
          <w:color w:val="000000"/>
          <w:sz w:val="20"/>
        </w:rPr>
        <w:t xml:space="preserve">. All work created under this Agreement (collectively, “Deliverables”) belongs to Vistagen. Consultant shall promptly disclose and hereby assigns to Vistagen, without additional compensation, all rights to and ownership of the Deliverables and any intellectual property rights (“IPR”) related to such Deliverables to the full extent that Consultant has the legal right to make such an assignment. Consistent with the foregoing, Consultant shall sign all papers and take other actions, at Vistagen’s expense and reasonable request, to assign, secure, and enforce rights to such IPR. The foregoing assignment obligations do not apply to any invention developed by Consultant wholly outside of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Services. To the extent that the Deliverables include works of authorship that are protectable by copyright, they will be considered “works made for hire,” as that term is defined in the United States Copyright Act. Vistagen may use the Deliverables for any and all purposes.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6.</w:t>
      </w:r>
      <w:r>
        <w:rPr>
          <w:rFonts w:ascii="Times New Roman;serif" w:hAnsi="Times New Roman;serif"/>
          <w:b w:val="false"/>
          <w:color w:val="000000"/>
          <w:sz w:val="20"/>
          <w:u w:val="single"/>
        </w:rPr>
        <w:t>Confidential Information</w:t>
      </w:r>
      <w:r>
        <w:rPr>
          <w:rFonts w:ascii="Times New Roman;serif" w:hAnsi="Times New Roman;serif"/>
          <w:b w:val="false"/>
          <w:color w:val="000000"/>
          <w:sz w:val="20"/>
        </w:rPr>
        <w:t>. All information disclosed by one party (“Discloser”) to the other party (“Recipient”) will be deemed to be “Confidential Information.” Confidential Information may include, without limitation, any discovery, idea, technique, invention, process, formula, design, device, or know-how; any sample, compound, formulation, extract, media, vector, cell line, or prototype; any procedures for producing or using the foregoing; any data or information relating to the foregoing and any past, current and contemplated research and development activities, pre-clinical studies, clinical trials, and the like; any commercial, engineering, manufacturing, marketing, partnering, regulatory, servicing, financing or personnel matter, program or strategy, suppliers, contractors, clients, customers, employees, investors, partners or business opportunities and plans of a party, whether in oral, written, visual, graphic or electronic form. All Confidential Information (including all copies thereof) will always remain the property of Discloser. Confidential Information preferably will be marked as confidential, but any disclosure reasonably understood to be Confidential Information need not be so marked.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7.</w:t>
      </w:r>
      <w:r>
        <w:rPr>
          <w:rFonts w:ascii="Times New Roman;serif" w:hAnsi="Times New Roman;serif"/>
          <w:b w:val="false"/>
          <w:color w:val="000000"/>
          <w:sz w:val="20"/>
          <w:u w:val="single"/>
        </w:rPr>
        <w:t>Standard Exceptions</w:t>
      </w:r>
      <w:r>
        <w:rPr>
          <w:rFonts w:ascii="Times New Roman;serif" w:hAnsi="Times New Roman;serif"/>
          <w:b w:val="false"/>
          <w:color w:val="000000"/>
          <w:sz w:val="20"/>
        </w:rPr>
        <w:t>. Confidential Information will not include information that Recipient can demonstrate by competent written proof: (a) is now, or hereafter becomes, generally known or available in the public domain through no act or failure to act by Recipient; (b) is already known by Recipient at the time of receiving such information; (c) is hereafter furnished to Recipient by a third party, as a matter of right and without restriction on its disclosure; (d) is independently developed by Recipient without any use of Confidential Information; or (e) is approved for disclosure in writing by Discloser.</w:t>
      </w:r>
    </w:p>
    <w:p>
      <w:pPr>
        <w:pStyle w:val="TextBody"/>
        <w:bidi w:val="0"/>
        <w:spacing w:lineRule="auto" w:line="288" w:before="293" w:after="283"/>
        <w:ind w:left="0" w:right="0" w:hanging="360"/>
        <w:jc w:val="left"/>
        <w:rPr/>
      </w:pPr>
      <w:r>
        <w:rPr>
          <w:rFonts w:ascii="Times New Roman;serif" w:hAnsi="Times New Roman;serif"/>
          <w:b w:val="false"/>
          <w:color w:val="000000"/>
          <w:sz w:val="20"/>
        </w:rPr>
        <w:t>8.</w:t>
      </w:r>
      <w:r>
        <w:rPr>
          <w:rFonts w:ascii="Times New Roman;serif" w:hAnsi="Times New Roman;serif"/>
          <w:b w:val="false"/>
          <w:color w:val="000000"/>
          <w:sz w:val="20"/>
          <w:u w:val="single"/>
        </w:rPr>
        <w:t>Compelled Disclosure</w:t>
      </w:r>
      <w:r>
        <w:rPr>
          <w:rFonts w:ascii="Times New Roman;serif" w:hAnsi="Times New Roman;serif"/>
          <w:b w:val="false"/>
          <w:color w:val="000000"/>
          <w:sz w:val="20"/>
        </w:rPr>
        <w:t>. Disclosure of Confidential Information by Recipient is allowed if such disclosure is: (a) made in response to a valid order of a court or other governmental body of the United States, a state or local authority having competent jurisdiction, or (b) otherwise required by law or regulation. In either case, Recipient must first have given reasonable prior notice to Discloser, to the extent legally permissible, and shall have made a reasonable effort, at Discloser’s request and expense, to obtain a protective order requiring that the Confidential Information so disclosed be used only for the purposes for which the order was issued or requirement made.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9.</w:t>
      </w:r>
      <w:r>
        <w:rPr>
          <w:rFonts w:ascii="Times New Roman;serif" w:hAnsi="Times New Roman;serif"/>
          <w:b w:val="false"/>
          <w:color w:val="000000"/>
          <w:sz w:val="20"/>
          <w:u w:val="single"/>
        </w:rPr>
        <w:t>Limitations on Use</w:t>
      </w:r>
      <w:r>
        <w:rPr>
          <w:rFonts w:ascii="Times New Roman;serif" w:hAnsi="Times New Roman;serif"/>
          <w:b w:val="false"/>
          <w:color w:val="000000"/>
          <w:sz w:val="20"/>
        </w:rPr>
        <w:t>. Recipient may use Confidential Information only to the extent required for this Agreement and nothing else. Recipient shall not make copies of the Confidential Information except as needed to provide Services. Recipient shall not disclose Confidential Information to third parties without Discloser’s written consent. When disclosure is authorized, Recipient may disclose Confidential Information of Discloser only to those bound by obligations regarding the use and protection of Confidential Information that are consistent with this Agreement and only as necessary for Consultant to provide Services. Recipient will not take any action to jeopardize, limit, or interfere with the Discloser’s ownership or rights concerning Discloser’s Confidential Information. Recipient shall not file or cause to be filed patent applications relating to Discloser’s Confidential Information, referencing the Discloser’s Confidential Information or on inventions including the Discloser’s Confidential Information without the express written consent of Discloser.</w:t>
      </w:r>
    </w:p>
    <w:p>
      <w:pPr>
        <w:pStyle w:val="TextBody"/>
        <w:bidi w:val="0"/>
        <w:spacing w:before="0" w:after="0"/>
        <w:jc w:val="left"/>
        <w:rPr/>
      </w:pPr>
      <w:r>
        <w:rPr/>
      </w:r>
    </w:p>
    <w:p>
      <w:pPr>
        <w:pStyle w:val="TextBody"/>
        <w:bidi w:val="0"/>
        <w:spacing w:lineRule="auto" w:line="288" w:before="1" w:after="283"/>
        <w:ind w:left="0" w:right="0" w:hanging="360"/>
        <w:jc w:val="left"/>
        <w:rPr/>
      </w:pPr>
      <w:r>
        <w:rPr>
          <w:rFonts w:ascii="Times New Roman;serif" w:hAnsi="Times New Roman;serif"/>
          <w:b w:val="false"/>
          <w:color w:val="000000"/>
          <w:sz w:val="20"/>
        </w:rPr>
        <w:t>10.</w:t>
      </w:r>
      <w:r>
        <w:rPr>
          <w:rFonts w:ascii="Times New Roman;serif" w:hAnsi="Times New Roman;serif"/>
          <w:b w:val="false"/>
          <w:color w:val="000000"/>
          <w:sz w:val="20"/>
          <w:u w:val="single"/>
        </w:rPr>
        <w:t>Maintenance of Confidentiality</w:t>
      </w:r>
      <w:r>
        <w:rPr>
          <w:rFonts w:ascii="Times New Roman;serif" w:hAnsi="Times New Roman;serif"/>
          <w:b w:val="false"/>
          <w:color w:val="000000"/>
          <w:sz w:val="20"/>
        </w:rPr>
        <w:t>. Recipient shall maintain all Confidential Information in trust and strict confidence. Recipient shall take reasonable measures to protect the confidentiality of and avoid the unauthorized disclosure and use of Confidential Information. Recipient shall reproduce Discloser’s proprietary rights notices on any such copies in the same way the original set forth notices. Without limiting the foregoing, Recipient shall take at least those measures used to protect their own proprietary and confidential information. Recipient shall be responsible for any breach of the obligations under this Agreement.</w:t>
      </w:r>
    </w:p>
    <w:p>
      <w:pPr>
        <w:pStyle w:val="TextBody"/>
        <w:bidi w:val="0"/>
        <w:spacing w:lineRule="auto" w:line="288" w:before="291" w:after="283"/>
        <w:ind w:left="0" w:right="0" w:hanging="360"/>
        <w:jc w:val="left"/>
        <w:rPr/>
      </w:pPr>
      <w:r>
        <w:rPr>
          <w:rFonts w:ascii="Times New Roman;serif" w:hAnsi="Times New Roman;serif"/>
          <w:b w:val="false"/>
          <w:color w:val="000000"/>
          <w:sz w:val="20"/>
        </w:rPr>
        <w:t>11.</w:t>
      </w:r>
      <w:r>
        <w:rPr>
          <w:rFonts w:ascii="Times New Roman;serif" w:hAnsi="Times New Roman;serif"/>
          <w:b w:val="false"/>
          <w:color w:val="000000"/>
          <w:sz w:val="20"/>
          <w:u w:val="single"/>
        </w:rPr>
        <w:t xml:space="preserve">Term for Confidentiality Obligations. </w:t>
      </w:r>
      <w:r>
        <w:rPr>
          <w:rFonts w:ascii="Times New Roman;serif" w:hAnsi="Times New Roman;serif"/>
          <w:b w:val="false"/>
          <w:color w:val="000000"/>
          <w:sz w:val="20"/>
        </w:rPr>
        <w:t>The obligations regarding the protection and use of Confidential Information will terminate seven (7) years from the expiration or termination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0520"/>
                <wp:effectExtent l="0" t="0" r="0" b="0"/>
                <wp:wrapNone/>
                <wp:docPr id="94" name="Frame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12.</w:t>
      </w:r>
      <w:r>
        <w:rPr>
          <w:rFonts w:ascii="Times New Roman;serif" w:hAnsi="Times New Roman;serif"/>
          <w:b w:val="false"/>
          <w:color w:val="000000"/>
          <w:sz w:val="20"/>
          <w:u w:val="single"/>
        </w:rPr>
        <w:t>No Warranty for Confidential Information</w:t>
      </w:r>
      <w:r>
        <w:rPr>
          <w:rFonts w:ascii="Times New Roman;serif" w:hAnsi="Times New Roman;serif"/>
          <w:b w:val="false"/>
          <w:color w:val="000000"/>
          <w:sz w:val="20"/>
        </w:rPr>
        <w:t>. While a Discloser shall act in good faith by providing Confidential Information that they believe is accurate and adequate to achieve the purposes of this Agreement, ALL CONFIDENTIAL INFORMATION IS PROVIDED “AS IS.” NEITHER PARTY MAKES ANY EXPRESS, IMPLIED, OR OTHER WARRANTIES, INCLUDING AS TO THE ACCURACY, COMPLETENESS, OR FITNESS OF ANY CONFIDENTIAL INFORMATION DISCLOSED UNDER THIS AGREEMENT.</w:t>
      </w:r>
    </w:p>
    <w:p>
      <w:pPr>
        <w:pStyle w:val="TextBody"/>
        <w:bidi w:val="0"/>
        <w:spacing w:before="0" w:after="0"/>
        <w:jc w:val="left"/>
        <w:rPr/>
      </w:pPr>
      <w:r>
        <w:rPr/>
      </w:r>
    </w:p>
    <w:p>
      <w:pPr>
        <w:pStyle w:val="TextBody"/>
        <w:bidi w:val="0"/>
        <w:spacing w:lineRule="auto" w:line="288" w:before="0" w:after="0"/>
        <w:ind w:left="0" w:right="0" w:hanging="358"/>
        <w:jc w:val="left"/>
        <w:rPr/>
      </w:pPr>
      <w:r>
        <w:rPr>
          <w:rFonts w:ascii="Times New Roman;serif" w:hAnsi="Times New Roman;serif"/>
          <w:b w:val="false"/>
          <w:color w:val="000000"/>
          <w:sz w:val="20"/>
        </w:rPr>
        <w:t>13.</w:t>
      </w:r>
      <w:r>
        <w:rPr>
          <w:rFonts w:ascii="Times New Roman;serif" w:hAnsi="Times New Roman;serif"/>
          <w:b w:val="false"/>
          <w:color w:val="000000"/>
          <w:sz w:val="20"/>
          <w:u w:val="single"/>
        </w:rPr>
        <w:t>Term and Termination.</w:t>
      </w:r>
    </w:p>
    <w:p>
      <w:pPr>
        <w:pStyle w:val="TextBody"/>
        <w:bidi w:val="0"/>
        <w:spacing w:lineRule="auto" w:line="288" w:before="292"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(a)This Agreement expires on December 31, 2025 (“Term”).</w:t>
      </w:r>
    </w:p>
    <w:p>
      <w:pPr>
        <w:pStyle w:val="TextBody"/>
        <w:bidi w:val="0"/>
        <w:spacing w:before="2"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(b)Either Party may terminate this Agreement for any reason at any time with immediate effect by providing written notice.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(c)Upon receipt of a termination notice, Consultant shall take prompt and reasonable steps to terminate further activities, minimize close-out costs related to Services, and submit a final invoice.</w:t>
      </w:r>
    </w:p>
    <w:p>
      <w:pPr>
        <w:pStyle w:val="TextBody"/>
        <w:bidi w:val="0"/>
        <w:spacing w:lineRule="auto" w:line="288" w:before="293" w:after="283"/>
        <w:ind w:left="0" w:right="0" w:hanging="360"/>
        <w:jc w:val="left"/>
        <w:rPr/>
      </w:pPr>
      <w:r>
        <w:rPr>
          <w:rFonts w:ascii="Times New Roman;serif" w:hAnsi="Times New Roman;serif"/>
          <w:b w:val="false"/>
          <w:color w:val="000000"/>
          <w:sz w:val="20"/>
        </w:rPr>
        <w:t>14.</w:t>
      </w:r>
      <w:r>
        <w:rPr>
          <w:rFonts w:ascii="Times New Roman;serif" w:hAnsi="Times New Roman;serif"/>
          <w:b w:val="false"/>
          <w:color w:val="000000"/>
          <w:sz w:val="20"/>
          <w:u w:val="single"/>
        </w:rPr>
        <w:t>Effects of Termination.</w:t>
      </w:r>
      <w:r>
        <w:rPr>
          <w:color w:val="000000"/>
        </w:rPr>
        <w:t xml:space="preserve"> </w:t>
      </w:r>
      <w:r>
        <w:rPr>
          <w:rFonts w:ascii="Times New Roman;serif" w:hAnsi="Times New Roman;serif"/>
          <w:b w:val="false"/>
          <w:color w:val="000000"/>
          <w:sz w:val="20"/>
        </w:rPr>
        <w:t>When this Agreement ends, Recipient shall promptly return or destroy (as directed by Discloser) all copies of Confidential Information, provide Discloser with all Deliverables, and confirm such actions in writing. However, Recipient may retain copies of Confidential Information as reasonably required to comply with their document retention policies or applicable law or to ensure their compliance with the provisions of this Agreement. In addition, Recipient shall not be obligated to destroy copies of Confidential Information remaining on their standard computer backup system. Any Confidential Information so retained will continue to be subject to the terms of this Agreement.</w:t>
      </w:r>
    </w:p>
    <w:p>
      <w:pPr>
        <w:pStyle w:val="TextBody"/>
        <w:bidi w:val="0"/>
        <w:spacing w:lineRule="auto" w:line="288" w:before="291" w:after="283"/>
        <w:ind w:left="0" w:right="0" w:hanging="360"/>
        <w:jc w:val="left"/>
        <w:rPr/>
      </w:pPr>
      <w:r>
        <w:rPr>
          <w:rFonts w:ascii="Times New Roman;serif" w:hAnsi="Times New Roman;serif"/>
          <w:b w:val="false"/>
          <w:color w:val="000000"/>
          <w:sz w:val="20"/>
        </w:rPr>
        <w:t>15.</w:t>
      </w:r>
      <w:r>
        <w:rPr/>
        <w:drawing>
          <wp:inline distT="0" distB="0" distL="0" distR="0">
            <wp:extent cx="38100" cy="14605"/>
            <wp:effectExtent l="0" t="0" r="0" b="0"/>
            <wp:docPr id="9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 descr=""/>
                    <pic:cNvPicPr>
                      <a:picLocks noChangeAspect="1" noChangeArrowheads="1"/>
                    </pic:cNvPicPr>
                  </pic:nvPicPr>
                  <pic:blipFill>
                    <a:blip r:embed="rId3"/>
                    <a:stretch>
                      <a:fillRect/>
                    </a:stretch>
                  </pic:blipFill>
                  <pic:spPr bwMode="auto">
                    <a:xfrm>
                      <a:off x="0" y="0"/>
                      <a:ext cx="38100" cy="14605"/>
                    </a:xfrm>
                    <a:prstGeom prst="rect">
                      <a:avLst/>
                    </a:prstGeom>
                  </pic:spPr>
                </pic:pic>
              </a:graphicData>
            </a:graphic>
          </wp:inline>
        </w:drawing>
      </w:r>
      <w:r>
        <w:rPr>
          <w:rFonts w:ascii="Times New Roman;serif" w:hAnsi="Times New Roman;serif"/>
          <w:b w:val="false"/>
          <w:color w:val="000000"/>
          <w:sz w:val="20"/>
          <w:u w:val="single"/>
        </w:rPr>
        <w:t xml:space="preserve">Remedies. </w:t>
      </w:r>
      <w:r>
        <w:rPr>
          <w:rFonts w:ascii="Times New Roman;serif" w:hAnsi="Times New Roman;serif"/>
          <w:b w:val="false"/>
          <w:color w:val="000000"/>
          <w:sz w:val="20"/>
        </w:rPr>
        <w:t>Both parties understand and agree that money damages may not be a sufficient remedy for a breach of this Agreement and that the aggrieved party will be entitled to seek specific performance, injunctive relief and other equitable relief as a remedy for any such breach. Such remedy will not be deemed to be the exclusive remedy for a breach of this Agreement but will be in addition to other remedies available at law or in equity.</w:t>
      </w:r>
    </w:p>
    <w:p>
      <w:pPr>
        <w:pStyle w:val="TextBody"/>
        <w:bidi w:val="0"/>
        <w:spacing w:before="1"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16.</w:t>
      </w:r>
      <w:r>
        <w:rPr>
          <w:rFonts w:ascii="Times New Roman;serif" w:hAnsi="Times New Roman;serif"/>
          <w:b w:val="false"/>
          <w:color w:val="000000"/>
          <w:sz w:val="20"/>
          <w:u w:val="single"/>
        </w:rPr>
        <w:t>Securities Laws</w:t>
      </w:r>
      <w:r>
        <w:rPr>
          <w:rFonts w:ascii="Times New Roman;serif" w:hAnsi="Times New Roman;serif"/>
          <w:b w:val="false"/>
          <w:color w:val="000000"/>
          <w:sz w:val="20"/>
        </w:rPr>
        <w:t>. Vistagen is a publicly traded company. Consultant acknowledges that: (i) trading in securities of Vistagen is subject to applicable securities legislation; (ii) as a result of the disclosure of Confidential Information by Vistagen to Consultant, Consultant may possess material, non-public information (“MNPI”) of Vistagen; and (iii) any trading by Consultant in the securities of Vistagen while in possession of such MNPI may be a violation of applicable securities legislation and is at all times prohibited.</w:t>
      </w:r>
    </w:p>
    <w:p>
      <w:pPr>
        <w:pStyle w:val="TextBody"/>
        <w:bidi w:val="0"/>
        <w:spacing w:lineRule="auto" w:line="288" w:before="292" w:after="283"/>
        <w:ind w:left="0" w:right="0" w:hanging="360"/>
        <w:jc w:val="left"/>
        <w:rPr/>
      </w:pPr>
      <w:r>
        <w:rPr>
          <w:rFonts w:ascii="Times New Roman;serif" w:hAnsi="Times New Roman;serif"/>
          <w:b w:val="false"/>
          <w:color w:val="000000"/>
          <w:sz w:val="20"/>
        </w:rPr>
        <w:t>17.</w:t>
      </w:r>
      <w:r>
        <w:rPr>
          <w:rFonts w:ascii="Times New Roman;serif" w:hAnsi="Times New Roman;serif"/>
          <w:b w:val="false"/>
          <w:color w:val="000000"/>
          <w:sz w:val="20"/>
          <w:u w:val="single"/>
        </w:rPr>
        <w:t xml:space="preserve">Background Technology, No License or Implied Rights. </w:t>
      </w:r>
      <w:r>
        <w:rPr>
          <w:rFonts w:ascii="Times New Roman;serif" w:hAnsi="Times New Roman;serif"/>
          <w:b w:val="false"/>
          <w:color w:val="000000"/>
          <w:sz w:val="20"/>
        </w:rPr>
        <w:t>All IPR and materials owned or under either party’s control before the Effective Date or developed wholly outside of this Agreement (“Background Technology”) are and will remain the property of that party. No rights or licenses to copyrights, inventions, know-how, patents, trademarks, or any other IPR are implied or granted under this Agreement, except that Consultant may utilize Vistagen’s Background Technology to provide Services.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0520"/>
                <wp:effectExtent l="0" t="0" r="0" b="0"/>
                <wp:wrapNone/>
                <wp:docPr id="96" name="Frame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1" w:after="283"/>
        <w:ind w:left="0" w:right="0" w:hanging="358"/>
        <w:jc w:val="left"/>
        <w:rPr/>
      </w:pPr>
      <w:r>
        <w:rPr>
          <w:rFonts w:ascii="Times New Roman;serif" w:hAnsi="Times New Roman;serif"/>
          <w:b w:val="false"/>
          <w:color w:val="000000"/>
          <w:sz w:val="20"/>
        </w:rPr>
        <w:t>18.</w:t>
      </w:r>
      <w:r>
        <w:rPr>
          <w:rFonts w:ascii="Times New Roman;serif" w:hAnsi="Times New Roman;serif"/>
          <w:b w:val="false"/>
          <w:color w:val="000000"/>
          <w:sz w:val="20"/>
          <w:u w:val="single"/>
        </w:rPr>
        <w:t>Representations by Consultant.</w:t>
      </w:r>
    </w:p>
    <w:p>
      <w:pPr>
        <w:pStyle w:val="TextBody"/>
        <w:bidi w:val="0"/>
        <w:spacing w:lineRule="auto" w:line="288" w:before="292"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(a)Consultant represents that she has and shall maintain all rights, licenses, permits, and consents that may be required to perform the Services, including, as applicable, a business license or business tax registration.</w:t>
      </w:r>
    </w:p>
    <w:p>
      <w:pPr>
        <w:pStyle w:val="TextBody"/>
        <w:bidi w:val="0"/>
        <w:spacing w:lineRule="auto" w:line="288" w:before="292"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(b)Consultant represents that, to the best of her knowledge and information, any technology, materials, or intellectual property used to provide the Services will not knowingly violate any IPR or other proprietary rights of any third party.</w:t>
      </w:r>
    </w:p>
    <w:p>
      <w:pPr>
        <w:pStyle w:val="TextBody"/>
        <w:bidi w:val="0"/>
        <w:spacing w:before="2"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(c)Consultant represents that, during the Term of this Agreement, she will not be a party to any arrangements, contractually or otherwise, that might reasonably be expected to create a conflict of interest or to interfere with or diminish her ability to provide the Services.</w:t>
      </w:r>
    </w:p>
    <w:p>
      <w:pPr>
        <w:pStyle w:val="TextBody"/>
        <w:bidi w:val="0"/>
        <w:spacing w:lineRule="auto" w:line="288" w:before="292" w:after="283"/>
        <w:ind w:left="0" w:right="0" w:hanging="360"/>
        <w:jc w:val="left"/>
        <w:rPr/>
      </w:pPr>
      <w:r>
        <w:rPr>
          <w:rFonts w:ascii="Times New Roman;serif" w:hAnsi="Times New Roman;serif"/>
          <w:b w:val="false"/>
          <w:color w:val="000000"/>
          <w:sz w:val="20"/>
        </w:rPr>
        <w:t>(d)Consultant represents that she will utilize appropriate administrative, electronic, physical, and technical safeguards to protect Vistagen’s Confidential Information that are no less rigorous than accepted industry practices</w:t>
      </w:r>
      <w:r>
        <w:rPr>
          <w:rFonts w:ascii="Times New Roman;serif" w:hAnsi="Times New Roman;serif"/>
          <w:b w:val="false"/>
          <w:color w:val="C00000"/>
          <w:sz w:val="20"/>
        </w:rPr>
        <w:t>.</w:t>
      </w:r>
    </w:p>
    <w:p>
      <w:pPr>
        <w:pStyle w:val="TextBody"/>
        <w:bidi w:val="0"/>
        <w:spacing w:lineRule="auto" w:line="288" w:before="293"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(e)Each Party represents that, in the performance of their permitted activities under this Agreement, they shall comply with all applicable laws, including those related to anti- corruption, anti-bribery, data privacy, export control, securities laws and regulations, and patient health and privacy information, including the Federal Food, Drug and Cosmetic Act, the Health Insurance Portability and Accountability Act of 1996, as amended by the HITECH Act and regulations promulgated from time to time thereunder, and Title 21 of the Code of Federal Regulations and the standards for conduct of clinical research described in the International Conference on Harmonization Guidelines for Good Clinical Practices.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(f)Consultant represents that she has not been debarred or is under consideration to be debarred under the Federal Food, Drug, and Cosmetic Act, 21 U.S.C. §335(a) or (b) or any equivalent state or local law or regulation.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19.</w:t>
      </w:r>
      <w:r>
        <w:rPr>
          <w:rFonts w:ascii="Times New Roman;serif" w:hAnsi="Times New Roman;serif"/>
          <w:b w:val="false"/>
          <w:color w:val="000000"/>
          <w:sz w:val="20"/>
          <w:u w:val="single"/>
        </w:rPr>
        <w:t>Notice</w:t>
      </w:r>
      <w:r>
        <w:rPr>
          <w:rFonts w:ascii="Times New Roman;serif" w:hAnsi="Times New Roman;serif"/>
          <w:b w:val="false"/>
          <w:color w:val="000000"/>
          <w:sz w:val="20"/>
        </w:rPr>
        <w:t>. All demands and notices under this Agreement, other than routine communications, will be in writing, in each case, to the other Party at their given address. Either Party may give any notice under this Agreement by customary means (including personal delivery, overnight courier, or prepaid, first-class, certified mail), but expressly not by fax or email, and such notice or other communication will be deemed duly given when the Party for whom it is intended receives it. Any Party may change the address to deliver notices and other communications.</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to Vistagen, such demand or notice shall be marked “Attention: Reid Adler, JD, Chief Legal Officer,” A mandatory copy shall be emailed to </w:t>
      </w:r>
      <w:r>
        <w:rPr>
          <w:rFonts w:ascii="Times New Roman;serif" w:hAnsi="Times New Roman;serif"/>
          <w:b w:val="false"/>
          <w:color w:val="000000"/>
          <w:sz w:val="20"/>
          <w:u w:val="single"/>
        </w:rPr>
        <w:t>notice@vistagen.com</w:t>
      </w:r>
      <w:r>
        <w:rPr>
          <w:rFonts w:ascii="Times New Roman;serif" w:hAnsi="Times New Roman;serif"/>
          <w:b w:val="false"/>
          <w:color w:val="000000"/>
          <w:sz w:val="20"/>
        </w:rPr>
        <w:t>, which shall not constitute notice under this section.</w:t>
      </w:r>
    </w:p>
    <w:p>
      <w:pPr>
        <w:pStyle w:val="TextBody"/>
        <w:bidi w:val="0"/>
        <w:spacing w:lineRule="auto" w:line="288" w:before="292" w:after="283"/>
        <w:ind w:left="0" w:right="0" w:hanging="360"/>
        <w:jc w:val="left"/>
        <w:rPr/>
      </w:pPr>
      <w:r>
        <w:rPr>
          <w:rFonts w:ascii="Times New Roman;serif" w:hAnsi="Times New Roman;serif"/>
          <w:b w:val="false"/>
          <w:color w:val="000000"/>
          <w:sz w:val="20"/>
        </w:rPr>
        <w:t>20.</w:t>
      </w:r>
      <w:r>
        <w:rPr>
          <w:rFonts w:ascii="Times New Roman;serif" w:hAnsi="Times New Roman;serif"/>
          <w:b w:val="false"/>
          <w:color w:val="000000"/>
          <w:sz w:val="20"/>
          <w:u w:val="single"/>
        </w:rPr>
        <w:t>Dispute Resolution</w:t>
      </w:r>
      <w:r>
        <w:rPr>
          <w:rFonts w:ascii="Times New Roman;serif" w:hAnsi="Times New Roman;serif"/>
          <w:b w:val="false"/>
          <w:color w:val="000000"/>
          <w:sz w:val="20"/>
        </w:rPr>
        <w:t>. The parties shall first attempt to resolve any dispute by a good faith meeting between the signatories or their designated representatives. After that, the parties may, at their sole discretion, utilize any other available mechanism, including litigation.</w:t>
      </w:r>
    </w:p>
    <w:p>
      <w:pPr>
        <w:pStyle w:val="TextBody"/>
        <w:bidi w:val="0"/>
        <w:spacing w:lineRule="auto" w:line="288" w:before="293" w:after="283"/>
        <w:ind w:left="0" w:right="0" w:hanging="360"/>
        <w:jc w:val="left"/>
        <w:rPr/>
      </w:pPr>
      <w:r>
        <w:rPr>
          <w:rFonts w:ascii="Times New Roman;serif" w:hAnsi="Times New Roman;serif"/>
          <w:b w:val="false"/>
          <w:color w:val="000000"/>
          <w:sz w:val="20"/>
        </w:rPr>
        <w:t>21.</w:t>
      </w:r>
      <w:r>
        <w:rPr>
          <w:rFonts w:ascii="Times New Roman;serif" w:hAnsi="Times New Roman;serif"/>
          <w:b w:val="false"/>
          <w:color w:val="000000"/>
          <w:sz w:val="20"/>
          <w:u w:val="single"/>
        </w:rPr>
        <w:t>LIMITATION OF LIABILITY</w:t>
      </w:r>
      <w:r>
        <w:rPr>
          <w:rFonts w:ascii="Times New Roman;serif" w:hAnsi="Times New Roman;serif"/>
          <w:b w:val="false"/>
          <w:color w:val="000000"/>
          <w:sz w:val="20"/>
        </w:rPr>
        <w:t>. NEITHER PARTY SHALL BE LIABLE TO THE OTHER PARTY FOR ANY INDIRECT, INCIDENTAL, CONSEQUENTIAL, SPECIAL, PUNITIVE, OR EXEMPLARY DAMAGES OR ANY LOSS OF REVENUE OR PROFITS ARISING OUT OF THIS AGREEMENT REGARDLESS OF WHETHER SUCH PARTY HAS BEEN ADVISED OF OR IS AWARE THAT SUCH DAMAGES HAVE BEEN OR MAY BE INCURRED.</w:t>
      </w:r>
    </w:p>
    <w:p>
      <w:pPr>
        <w:pStyle w:val="TextBody"/>
        <w:bidi w:val="0"/>
        <w:spacing w:before="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7"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22.</w:t>
      </w:r>
      <w:r>
        <w:rPr>
          <w:rFonts w:ascii="Times New Roman;serif" w:hAnsi="Times New Roman;serif"/>
          <w:b w:val="false"/>
          <w:color w:val="000000"/>
          <w:sz w:val="20"/>
          <w:u w:val="single"/>
        </w:rPr>
        <w:t>Survival</w:t>
      </w:r>
      <w:r>
        <w:rPr>
          <w:rFonts w:ascii="Times New Roman;serif" w:hAnsi="Times New Roman;serif"/>
          <w:b w:val="false"/>
          <w:color w:val="000000"/>
          <w:sz w:val="20"/>
        </w:rPr>
        <w:t>. The provisions of this Agreement that expressly or by reasonable implication are intended to come into force or survive termination or expiration of this Agreement will survive to achieve the purposes of this Agreement, including the provisions regarding confidentiality, limitation of liability, and indemnification.</w:t>
      </w:r>
    </w:p>
    <w:p>
      <w:pPr>
        <w:pStyle w:val="TextBody"/>
        <w:bidi w:val="0"/>
        <w:spacing w:lineRule="auto" w:line="288" w:before="292" w:after="283"/>
        <w:ind w:left="0" w:right="0" w:hanging="358"/>
        <w:jc w:val="left"/>
        <w:rPr/>
      </w:pPr>
      <w:r>
        <w:rPr>
          <w:rFonts w:ascii="Times New Roman;serif" w:hAnsi="Times New Roman;serif"/>
          <w:b w:val="false"/>
          <w:color w:val="000000"/>
          <w:sz w:val="20"/>
        </w:rPr>
        <w:t>23.</w:t>
      </w:r>
      <w:r>
        <w:rPr>
          <w:rFonts w:ascii="Times New Roman;serif" w:hAnsi="Times New Roman;serif"/>
          <w:b w:val="false"/>
          <w:color w:val="000000"/>
          <w:sz w:val="20"/>
          <w:u w:val="single"/>
        </w:rPr>
        <w:t>Independent Contractors.</w:t>
      </w:r>
    </w:p>
    <w:p>
      <w:pPr>
        <w:pStyle w:val="TextBody"/>
        <w:bidi w:val="0"/>
        <w:spacing w:lineRule="auto" w:line="288" w:before="293"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relationship between the parties will be that of independent contractors. Consultant will be free from Vistagen’s control and direction in connection with the performance of the Services. Consistent with the nature of the Services, Consultant shall set her hours and location of work. Neither party shall have the authority to act as the other party’s agent or to supervise the other party’s employees. Vistagen will not withhold taxes or provide any benefits to Consultant, such as time off, holidays, or other employee benefits.</w:t>
      </w:r>
    </w:p>
    <w:p>
      <w:pPr>
        <w:pStyle w:val="TextBody"/>
        <w:bidi w:val="0"/>
        <w:spacing w:before="1"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(b)Consultant and Vistagen agree that Consultant shall be responsible for independently obtaining all medical, dental, health, injury, travel delay, and other personal insurance coverage. Consultant agrees to the requirements and limitations of these insurances and acknowledges their agreement by signing this Agreement below.</w:t>
      </w:r>
    </w:p>
    <w:p>
      <w:pPr>
        <w:pStyle w:val="TextBody"/>
        <w:bidi w:val="0"/>
        <w:spacing w:before="108"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(c)Subject to the terms of this Agreement, Consultant shall be free to enter into similar consulting arrangements with third parties without the need for approval from Vistagen.</w:t>
      </w:r>
    </w:p>
    <w:p>
      <w:pPr>
        <w:pStyle w:val="TextBody"/>
        <w:bidi w:val="0"/>
        <w:spacing w:lineRule="auto" w:line="288" w:before="292" w:after="283"/>
        <w:ind w:left="0" w:right="0" w:hanging="358"/>
        <w:jc w:val="left"/>
        <w:rPr/>
      </w:pPr>
      <w:r>
        <w:rPr>
          <w:rFonts w:ascii="Times New Roman;serif" w:hAnsi="Times New Roman;serif"/>
          <w:b w:val="false"/>
          <w:color w:val="000000"/>
          <w:sz w:val="20"/>
        </w:rPr>
        <w:t>24.</w:t>
      </w:r>
      <w:r>
        <w:rPr>
          <w:rFonts w:ascii="Times New Roman;serif" w:hAnsi="Times New Roman;serif"/>
          <w:b w:val="false"/>
          <w:color w:val="000000"/>
          <w:sz w:val="20"/>
          <w:u w:val="single"/>
        </w:rPr>
        <w:t>Miscellaneous.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parties warrant that they have the authority to enter into this Agreement, to provide any Confidential Information that will be disclosed to the other party and that the terms of this Agreement will not cause a breach of any other contract to which such party is bound.</w:t>
      </w:r>
    </w:p>
    <w:p>
      <w:pPr>
        <w:pStyle w:val="TextBody"/>
        <w:bidi w:val="0"/>
        <w:spacing w:before="1" w:after="283"/>
        <w:jc w:val="left"/>
        <w:rPr/>
      </w:pPr>
      <w:r>
        <w:rPr/>
      </w:r>
    </w:p>
    <w:p>
      <w:pPr>
        <w:pStyle w:val="TextBody"/>
        <w:bidi w:val="0"/>
        <w:spacing w:lineRule="auto" w:line="288" w:before="1"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parties acknowledge that either party may now, or in the future, evaluate or do business with competitors or potential competitors of the other party. Subject to their obligations under this Agreement, neither the execution of this Agreement, the disclosure or receipt of Confidential Information, nor the term of this Agreement shall in any way restrict or preclude such activities.</w:t>
      </w:r>
    </w:p>
    <w:p>
      <w:pPr>
        <w:pStyle w:val="TextBody"/>
        <w:bidi w:val="0"/>
        <w:spacing w:lineRule="auto" w:line="288" w:before="292"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(c)Neither party shall use the other party’s name, logo, trademark, or likeness in any public disclosures in any manner that would imply endorsement. Vistagen may identify Consultant and describe this Agreement in non-public communications with its agents or analysts or actual or potential partners, investors, sites, or investigators who reasonably need such information. Either party may disclose this Agreement as required by law.</w:t>
      </w:r>
    </w:p>
    <w:p>
      <w:pPr>
        <w:pStyle w:val="TextBody"/>
        <w:bidi w:val="0"/>
        <w:spacing w:before="1"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(d)Neither this Agreement nor any rights or obligations under this Agreement are assignable by either party without the prior written approval of the other party, except that Vistagen may assign this Agreement to an affiliate without such consent, and Vistagen may assign this Agreement without such consent in the context of a sale or transfer of all or substantially all of its assets that relate to this Agreement.</w:t>
      </w:r>
    </w:p>
    <w:p>
      <w:pPr>
        <w:pStyle w:val="TextBody"/>
        <w:bidi w:val="0"/>
        <w:spacing w:lineRule="auto" w:line="288" w:before="292"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(e)This Agreement will be governed by the laws of the State of California as applied to disputes involving parties located entirely within the State and without giving effect to its choice of law provisions. Any claim or controversy arising out of or related to this Agreement will be submitted to a court of competent jurisdiction in California, and each Party hereby consents to the jurisdiction of such court. Prior to initiating any litigation, the Parties agree to attempt to resolve any such claim or controversy through good faith discussions. To the extent permissible by law, the Parties agree to participate in hearings, depositions, and other proceedings remotely or virtually to minimize costs and burdens.</w:t>
      </w:r>
    </w:p>
    <w:p>
      <w:pPr>
        <w:pStyle w:val="TextBody"/>
        <w:bidi w:val="0"/>
        <w:spacing w:before="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8" name="Frame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8"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(f)This Agreement constitutes the parties' final, complete, and exclusive agreement and supersedes all prior and contemporaneous understandings and agreements relating to its subject matter. This Agreement, including Exhibit A, may not be changed, modified, amended, or supplemented except by the written consent of both parties. This Agreement will control in case of any conflict with Exhibit A unless the latter explicitly states that it will supersede this Agreement.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(g)Section headings are included for convenience only and will not be deemed part of this Agreement. However, the Recitals above are true and correct and are incorporated by reference.</w:t>
      </w:r>
    </w:p>
    <w:p>
      <w:pPr>
        <w:pStyle w:val="TextBody"/>
        <w:bidi w:val="0"/>
        <w:spacing w:lineRule="auto" w:line="288" w:before="292"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(h)This Agreement has been negotiated by the parties and shall be interpreted reasonably per its terms and without any construction in favor of or against either party. This Agreement has been prepared in English, which will control its interpretation.</w:t>
      </w:r>
    </w:p>
    <w:p>
      <w:pPr>
        <w:pStyle w:val="TextBody"/>
        <w:bidi w:val="0"/>
        <w:spacing w:before="2"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(i)Any failure to enforce any provision of this Agreement will not constitute a waiver thereof or any other provision, nor will any single or partial exercise preclude any other or further exercise thereof or the exercise of any other right, power, or privilege under this Agreement. To be effective, any such waiver must be in writing and signed by the party against whom the waiver is sought to be enforced.</w:t>
      </w:r>
    </w:p>
    <w:p>
      <w:pPr>
        <w:pStyle w:val="TextBody"/>
        <w:bidi w:val="0"/>
        <w:spacing w:lineRule="auto" w:line="288" w:before="292"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(j)If any one or more of the provisions of this Agreement is held to be invalid or unenforceable by any court of competent jurisdiction from which no appeal can be or is taken, the provision will be considered severed from this Agreement and will not serve to invalidate any of its remaining provisions. The parties shall make a good faith effort to replace any invalid or unenforceable provision with a valid and enforceable one such that the objectives contemplated by the parties when entering into this Agreement may be realized.</w:t>
      </w:r>
    </w:p>
    <w:p>
      <w:pPr>
        <w:pStyle w:val="TextBody"/>
        <w:bidi w:val="0"/>
        <w:spacing w:before="1"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(k)Neither party shall be deemed to have defaulted under or to be in breach of this Agreement for failure or delay in fulfilling material obligations when such failure or delay is directly caused by an event outside of their reasonable control, including war, acts of war, insurrections, acts of terrorism, epidemics or pandemics, or acts of God (a “Force Majeure Event”). Each party shall inform the other promptly and in writing of any such Force Majeure Event, and the parties shall discuss the situation and, acting in good faith, agree on the appropriate course of action under the circumstances. Absent such good faith agreement, either party may terminate this Agreement.</w:t>
      </w:r>
    </w:p>
    <w:p>
      <w:pPr>
        <w:pStyle w:val="TextBody"/>
        <w:bidi w:val="0"/>
        <w:spacing w:lineRule="auto" w:line="288" w:before="291"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(l)For the convenience of the parties, this Agreement may be executed in counterparts, each of which will be deemed an original, but all of which together will constitute the same instrument. This Agreement may be executed in PDF form or by other electronically transmitted signatures, such as DocuSign, and these signatures will be deemed binding on each party as if they were the original signatures.</w:t>
      </w:r>
    </w:p>
    <w:p>
      <w:pPr>
        <w:pStyle w:val="TextBody"/>
        <w:bidi w:val="0"/>
        <w:spacing w:before="1" w:after="283"/>
        <w:jc w:val="left"/>
        <w:rPr/>
      </w:pPr>
      <w:r>
        <w:rPr/>
      </w:r>
    </w:p>
    <w:p>
      <w:pPr>
        <w:pStyle w:val="TextBody"/>
        <w:bidi w:val="0"/>
        <w:spacing w:lineRule="auto" w:line="288" w:before="1" w:after="283"/>
        <w:ind w:left="0" w:right="0" w:hanging="358"/>
        <w:jc w:val="left"/>
        <w:rPr>
          <w:rFonts w:ascii="Times New Roman;serif" w:hAnsi="Times New Roman;serif"/>
          <w:b w:val="false"/>
          <w:color w:val="000000"/>
          <w:sz w:val="20"/>
        </w:rPr>
      </w:pPr>
      <w:r>
        <w:rPr>
          <w:rFonts w:ascii="Times New Roman;serif" w:hAnsi="Times New Roman;serif"/>
          <w:b w:val="false"/>
          <w:color w:val="000000"/>
          <w:sz w:val="20"/>
        </w:rPr>
        <w:t>(m)There are no third-party beneficiaries of this Agreement.</w:t>
      </w:r>
    </w:p>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9"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8"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party is signing this Agreement on the date stated below with the party’s authorized signature.</w:t>
      </w:r>
    </w:p>
    <w:p>
      <w:pPr>
        <w:pStyle w:val="TextBody"/>
        <w:bidi w:val="0"/>
        <w:spacing w:before="292" w:after="283"/>
        <w:jc w:val="left"/>
        <w:rPr/>
      </w:pPr>
      <w:r>
        <w:rPr/>
      </w:r>
    </w:p>
    <w:p>
      <w:pPr>
        <w:pStyle w:val="TextBody"/>
        <w:bidi w:val="0"/>
        <w:spacing w:lineRule="auto" w:line="288" w:before="292"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            CYNTHIA L. ANDERSON (CONSULTANT)</w:t>
      </w:r>
    </w:p>
    <w:p>
      <w:pPr>
        <w:pStyle w:val="TextBody"/>
        <w:bidi w:val="0"/>
        <w:spacing w:before="292"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Reid G. Adler            </w:t>
      </w:r>
      <w:r>
        <w:rPr>
          <w:color w:val="000000"/>
        </w:rPr>
        <w:t>    </w:t>
      </w: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Cynthia Anderson            </w:t>
      </w:r>
    </w:p>
    <w:p>
      <w:pPr>
        <w:pStyle w:val="TextBody"/>
        <w:bidi w:val="0"/>
        <w:spacing w:lineRule="auto" w:line="288" w:before="292" w:after="283"/>
        <w:jc w:val="left"/>
        <w:rPr/>
      </w:pPr>
      <w:r>
        <w:rPr>
          <w:rFonts w:ascii="Times New Roman;serif" w:hAnsi="Times New Roman;serif"/>
          <w:b w:val="false"/>
          <w:color w:val="000000"/>
          <w:sz w:val="20"/>
        </w:rPr>
        <w:t xml:space="preserve">Name: </w:t>
      </w:r>
      <w:r>
        <w:rPr>
          <w:rFonts w:ascii="Times New Roman;serif" w:hAnsi="Times New Roman;serif"/>
          <w:b w:val="false"/>
          <w:color w:val="000000"/>
          <w:sz w:val="20"/>
          <w:u w:val="single"/>
        </w:rPr>
        <w:t>Reid G. Adler, J.D.            </w:t>
      </w:r>
      <w:r>
        <w:rPr>
          <w:color w:val="000000"/>
        </w:rPr>
        <w:t>    </w:t>
      </w:r>
      <w:r>
        <w:rPr>
          <w:rFonts w:ascii="Times New Roman;serif" w:hAnsi="Times New Roman;serif"/>
          <w:b w:val="false"/>
          <w:color w:val="000000"/>
          <w:sz w:val="20"/>
        </w:rPr>
        <w:t xml:space="preserve">Name: </w:t>
      </w:r>
      <w:r>
        <w:rPr>
          <w:rFonts w:ascii="Times New Roman;serif" w:hAnsi="Times New Roman;serif"/>
          <w:b w:val="false"/>
          <w:color w:val="000000"/>
          <w:sz w:val="20"/>
          <w:u w:val="single"/>
        </w:rPr>
        <w:t>Cynthia Anderson            </w:t>
      </w:r>
    </w:p>
    <w:p>
      <w:pPr>
        <w:pStyle w:val="TextBody"/>
        <w:bidi w:val="0"/>
        <w:spacing w:lineRule="auto" w:line="288" w:before="292" w:after="283"/>
        <w:jc w:val="left"/>
        <w:rPr/>
      </w:pPr>
      <w:r>
        <w:rPr>
          <w:rFonts w:ascii="Times New Roman;serif" w:hAnsi="Times New Roman;serif"/>
          <w:b w:val="false"/>
          <w:color w:val="000000"/>
          <w:sz w:val="20"/>
        </w:rPr>
        <w:t xml:space="preserve">Title: </w:t>
      </w:r>
      <w:r>
        <w:rPr>
          <w:rFonts w:ascii="Times New Roman;serif" w:hAnsi="Times New Roman;serif"/>
          <w:b w:val="false"/>
          <w:color w:val="000000"/>
          <w:sz w:val="20"/>
          <w:u w:val="single"/>
        </w:rPr>
        <w:t>Chief Legal Officer            </w:t>
      </w:r>
      <w:r>
        <w:rPr>
          <w:color w:val="000000"/>
        </w:rPr>
        <w:t>    </w:t>
      </w:r>
      <w:r>
        <w:rPr>
          <w:rFonts w:ascii="Times New Roman;serif" w:hAnsi="Times New Roman;serif"/>
          <w:b w:val="false"/>
          <w:color w:val="000000"/>
          <w:sz w:val="20"/>
        </w:rPr>
        <w:t xml:space="preserve">Date: </w:t>
      </w:r>
      <w:r>
        <w:rPr>
          <w:rFonts w:ascii="Times New Roman;serif" w:hAnsi="Times New Roman;serif"/>
          <w:b w:val="false"/>
          <w:color w:val="000000"/>
          <w:sz w:val="20"/>
          <w:u w:val="single"/>
        </w:rPr>
        <w:t>10/15/2025                </w:t>
      </w:r>
    </w:p>
    <w:p>
      <w:pPr>
        <w:pStyle w:val="TextBody"/>
        <w:bidi w:val="0"/>
        <w:spacing w:lineRule="auto" w:line="288" w:before="292" w:after="283"/>
        <w:jc w:val="left"/>
        <w:rPr/>
      </w:pPr>
      <w:r>
        <w:rPr>
          <w:rFonts w:ascii="Times New Roman;serif" w:hAnsi="Times New Roman;serif"/>
          <w:b w:val="false"/>
          <w:color w:val="000000"/>
          <w:sz w:val="20"/>
        </w:rPr>
        <w:t xml:space="preserve">Date: </w:t>
      </w:r>
      <w:r>
        <w:rPr>
          <w:rFonts w:ascii="Times New Roman;serif" w:hAnsi="Times New Roman;serif"/>
          <w:b w:val="false"/>
          <w:color w:val="000000"/>
          <w:sz w:val="20"/>
          <w:u w:val="single"/>
        </w:rPr>
        <w:t>10/15/2025                </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0520"/>
                <wp:effectExtent l="0" t="0" r="0" b="0"/>
                <wp:wrapNone/>
                <wp:docPr id="100"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41" w:after="283"/>
        <w:jc w:val="center"/>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CONSULTING SERVICES AGREEMENT</w:t>
      </w:r>
    </w:p>
    <w:p>
      <w:pPr>
        <w:pStyle w:val="TextBody"/>
        <w:bidi w:val="0"/>
        <w:spacing w:lineRule="auto" w:line="288" w:before="293" w:after="283"/>
        <w:ind w:left="0" w:right="0" w:hanging="348"/>
        <w:jc w:val="left"/>
        <w:rPr>
          <w:rFonts w:ascii="Times New Roman;serif" w:hAnsi="Times New Roman;serif"/>
          <w:b/>
          <w:color w:val="000000"/>
          <w:sz w:val="20"/>
        </w:rPr>
      </w:pPr>
      <w:r>
        <w:rPr>
          <w:rFonts w:ascii="Times New Roman;serif" w:hAnsi="Times New Roman;serif"/>
          <w:b/>
          <w:color w:val="000000"/>
          <w:sz w:val="20"/>
        </w:rPr>
        <w:t>(A)Services Description: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12121"/>
          <w:sz w:val="20"/>
        </w:rPr>
      </w:pPr>
      <w:r>
        <w:rPr>
          <w:rFonts w:ascii="Times New Roman;serif" w:hAnsi="Times New Roman;serif"/>
          <w:b w:val="false"/>
          <w:color w:val="212121"/>
          <w:sz w:val="20"/>
        </w:rPr>
        <w:t>As reasonably requested by Vistagen and mutually agreed with Consultant, Consultant will provide advisory and consulting services in her areas of expertise, work experience, and responsibilities to support Vistagen during the transition period for recruiting and onboarding a successor Chief Financial Officer.</w:t>
      </w:r>
    </w:p>
    <w:p>
      <w:pPr>
        <w:pStyle w:val="TextBody"/>
        <w:bidi w:val="0"/>
        <w:spacing w:before="1" w:after="283"/>
        <w:jc w:val="left"/>
        <w:rPr/>
      </w:pPr>
      <w:r>
        <w:rPr/>
      </w:r>
    </w:p>
    <w:p>
      <w:pPr>
        <w:pStyle w:val="TextBody"/>
        <w:bidi w:val="0"/>
        <w:spacing w:lineRule="auto" w:line="288" w:before="0" w:after="0"/>
        <w:ind w:left="0" w:right="0" w:hanging="336"/>
        <w:jc w:val="left"/>
        <w:rPr>
          <w:rFonts w:ascii="Times New Roman;serif" w:hAnsi="Times New Roman;serif"/>
          <w:b/>
          <w:color w:val="000000"/>
          <w:sz w:val="20"/>
        </w:rPr>
      </w:pPr>
      <w:r>
        <w:rPr>
          <w:rFonts w:ascii="Times New Roman;serif" w:hAnsi="Times New Roman;serif"/>
          <w:b/>
          <w:color w:val="000000"/>
          <w:sz w:val="20"/>
        </w:rPr>
        <w:t>(B)Compensation: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Hourly Rate</w:t>
      </w:r>
      <w:r>
        <w:rPr>
          <w:rFonts w:ascii="Times New Roman;serif" w:hAnsi="Times New Roman;serif"/>
          <w:b w:val="false"/>
          <w:color w:val="000000"/>
          <w:sz w:val="20"/>
        </w:rPr>
        <w:t xml:space="preserve">. Vistagen agrees to compensate Consultant for requested Services by check or ACH to a U.S. bank account. Consultant shall submit invoices via email to </w:t>
      </w:r>
      <w:r>
        <w:rPr>
          <w:rFonts w:ascii="Times New Roman;serif" w:hAnsi="Times New Roman;serif"/>
          <w:b w:val="false"/>
          <w:color w:val="000000"/>
          <w:sz w:val="20"/>
          <w:u w:val="single"/>
        </w:rPr>
        <w:t>accounting@vistagen.com</w:t>
      </w:r>
      <w:r>
        <w:rPr>
          <w:rFonts w:ascii="Times New Roman;serif" w:hAnsi="Times New Roman;serif"/>
          <w:b w:val="false"/>
          <w:color w:val="000000"/>
          <w:sz w:val="20"/>
        </w:rPr>
        <w:t>.</w:t>
      </w:r>
    </w:p>
    <w:p>
      <w:pPr>
        <w:pStyle w:val="TextBody"/>
        <w:bidi w:val="0"/>
        <w:spacing w:lineRule="auto" w:line="288" w:before="293" w:after="283"/>
        <w:jc w:val="left"/>
        <w:rPr>
          <w:rFonts w:ascii="Times New Roman;serif" w:hAnsi="Times New Roman;serif"/>
          <w:b w:val="false"/>
          <w:color w:val="000000"/>
          <w:sz w:val="20"/>
        </w:rPr>
      </w:pPr>
      <w:r>
        <w:rPr>
          <w:rFonts w:ascii="Times New Roman;serif" w:hAnsi="Times New Roman;serif"/>
          <w:b w:val="false"/>
          <w:color w:val="000000"/>
          <w:sz w:val="20"/>
        </w:rPr>
        <w:t>The hourly rate is $450/hour, and the parties agree that Consultant’s services will not exceed ten (10) hours per month.</w:t>
      </w:r>
    </w:p>
    <w:p>
      <w:pPr>
        <w:pStyle w:val="TextBody"/>
        <w:bidi w:val="0"/>
        <w:spacing w:lineRule="auto" w:line="288" w:before="292" w:after="283"/>
        <w:jc w:val="left"/>
        <w:rPr>
          <w:rFonts w:ascii="Times New Roman;serif" w:hAnsi="Times New Roman;serif"/>
          <w:b w:val="false"/>
          <w:color w:val="000000"/>
          <w:sz w:val="20"/>
        </w:rPr>
      </w:pPr>
      <w:r>
        <w:rPr>
          <w:rFonts w:ascii="Times New Roman;serif" w:hAnsi="Times New Roman;serif"/>
          <w:b w:val="false"/>
          <w:color w:val="000000"/>
          <w:sz w:val="20"/>
        </w:rPr>
        <w:t>Vistagen shall reimburse reasonable expenses at cost. Substantial expenses not in the usual course of business, such as airfare and hotel accommodations, must be pre-approved by Vistagen in writing.</w:t>
      </w:r>
    </w:p>
    <w:p>
      <w:pPr>
        <w:pStyle w:val="TextBody"/>
        <w:bidi w:val="0"/>
        <w:spacing w:lineRule="auto" w:line="288" w:before="292" w:after="283"/>
        <w:jc w:val="left"/>
        <w:rPr/>
      </w:pPr>
      <w:r>
        <w:rPr>
          <w:rFonts w:ascii="Times New Roman;serif" w:hAnsi="Times New Roman;serif"/>
          <w:b w:val="false"/>
          <w:i/>
          <w:color w:val="000000"/>
          <w:sz w:val="20"/>
        </w:rPr>
        <w:t>Continuation of Service</w:t>
      </w:r>
      <w:r>
        <w:rPr>
          <w:rFonts w:ascii="Times New Roman;serif" w:hAnsi="Times New Roman;serif"/>
          <w:b w:val="false"/>
          <w:color w:val="000000"/>
          <w:sz w:val="20"/>
        </w:rPr>
        <w:t>. Execution of this Agreement by Vistagen and Consultant on October 15, 2025, will not, in accordance with Section 2.36 of Vistagen’s Amended and Restated 2019 Omnibus Equity Incentive Plan, as amended (the “2019 Plan”), result in interrupted or terminated Service (as such term is defined in the 2019 Plan). As a result, Consultant’s granted stock options will continue to operate in accordance with their respective terms in the applicable award agreements during the term of this Agreement.</w:t>
      </w:r>
    </w:p>
    <w:p>
      <w:pPr>
        <w:pStyle w:val="TextBody"/>
        <w:bidi w:val="0"/>
        <w:spacing w:before="1" w:after="283"/>
        <w:jc w:val="left"/>
        <w:rPr/>
      </w:pPr>
      <w:r>
        <w:rPr/>
      </w:r>
    </w:p>
    <w:p>
      <w:pPr>
        <w:pStyle w:val="TextBody"/>
        <w:bidi w:val="0"/>
        <w:spacing w:lineRule="auto" w:line="288" w:before="0" w:after="0"/>
        <w:ind w:left="0" w:right="0" w:hanging="329"/>
        <w:jc w:val="left"/>
        <w:rPr>
          <w:rFonts w:ascii="Times New Roman;serif" w:hAnsi="Times New Roman;serif"/>
          <w:b/>
          <w:color w:val="000000"/>
          <w:sz w:val="20"/>
        </w:rPr>
      </w:pPr>
      <w:r>
        <w:rPr>
          <w:rFonts w:ascii="Times New Roman;serif" w:hAnsi="Times New Roman;serif"/>
          <w:b/>
          <w:color w:val="000000"/>
          <w:sz w:val="20"/>
        </w:rPr>
        <w:t>(C)Vistagen Contact Persons and email:</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Name: Trisha Fitzmaurice, SVP Human Resources.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0520"/>
                <wp:effectExtent l="0" t="0" r="0" b="0"/>
                <wp:wrapNone/>
                <wp:docPr id="101" name="Frame1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Shawn K. Singh,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Vistagen Therapeutics, Inc.;</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51" w:type="dxa"/>
        <w:jc w:val="left"/>
        <w:tblInd w:w="0" w:type="dxa"/>
        <w:tblLayout w:type="fixed"/>
        <w:tblCellMar>
          <w:top w:w="28" w:type="dxa"/>
          <w:left w:w="28" w:type="dxa"/>
          <w:bottom w:w="28" w:type="dxa"/>
          <w:right w:w="28" w:type="dxa"/>
        </w:tblCellMar>
      </w:tblPr>
      <w:tblGrid>
        <w:gridCol w:w="625"/>
        <w:gridCol w:w="548"/>
        <w:gridCol w:w="551"/>
        <w:gridCol w:w="784"/>
        <w:gridCol w:w="784"/>
        <w:gridCol w:w="787"/>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Shawn K. Singh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Shawn K. Singh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Shawn K. Singh, certify that: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Vistagen Therapeutics, Inc.;</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21" w:type="dxa"/>
        <w:jc w:val="left"/>
        <w:tblInd w:w="0" w:type="dxa"/>
        <w:tblLayout w:type="fixed"/>
        <w:tblCellMar>
          <w:top w:w="28" w:type="dxa"/>
          <w:left w:w="28" w:type="dxa"/>
          <w:bottom w:w="28" w:type="dxa"/>
          <w:right w:w="28" w:type="dxa"/>
        </w:tblCellMar>
      </w:tblPr>
      <w:tblGrid>
        <w:gridCol w:w="625"/>
        <w:gridCol w:w="548"/>
        <w:gridCol w:w="551"/>
        <w:gridCol w:w="974"/>
        <w:gridCol w:w="974"/>
        <w:gridCol w:w="977"/>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Shawn K. Singh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Shawn K. Singh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Interim 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pPr>
      <w:r>
        <w:rPr>
          <w:rFonts w:ascii="Times New Roman;serif" w:hAnsi="Times New Roman;serif"/>
          <w:b w:val="false"/>
          <w:color w:val="000000"/>
          <w:sz w:val="20"/>
        </w:rPr>
        <w:t>In connection with the Quarterly Report on Form 10-Q of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for the quarter ended September 30, 2025, as filed with the Securities and Exchange Commission on the date hereof (the “</w:t>
      </w:r>
      <w:r>
        <w:rPr>
          <w:rFonts w:ascii="Times New Roman;serif" w:hAnsi="Times New Roman;serif"/>
          <w:b w:val="false"/>
          <w:i/>
          <w:color w:val="000000"/>
          <w:sz w:val="20"/>
        </w:rPr>
        <w:t>Report</w:t>
      </w:r>
      <w:r>
        <w:rPr>
          <w:color w:val="000000"/>
        </w:rPr>
        <w:t>”</w:t>
      </w:r>
      <w:r>
        <w:rPr>
          <w:rFonts w:ascii="Times New Roman;serif" w:hAnsi="Times New Roman;serif"/>
          <w:b w:val="false"/>
          <w:color w:val="000000"/>
          <w:sz w:val="20"/>
        </w:rPr>
        <w:t>), Shawn K. Singh, JD, the Company’s Principal Executive Officer and interim Principal Financial Officer, certifies, pursuant to 18 U.S.C. §1350, as adopted pursuant to §906 of the Sarbanes-Oxley Act of 2002, that to the best of his knowledge: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 (d)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p>
      <w:pPr>
        <w:pStyle w:val="TextBody"/>
        <w:bidi w:val="0"/>
        <w:spacing w:lineRule="auto" w:line="288" w:before="200" w:after="283"/>
        <w:jc w:val="left"/>
        <w:rPr/>
      </w:pPr>
      <w:r>
        <w:rPr>
          <w:rFonts w:ascii="Times New Roman;serif" w:hAnsi="Times New Roman;serif"/>
          <w:b w:val="false"/>
          <w:color w:val="000000"/>
          <w:sz w:val="20"/>
          <w:u w:val="single"/>
        </w:rPr>
        <w:t xml:space="preserve">/s/ </w:t>
      </w:r>
      <w:r>
        <w:rPr>
          <w:rFonts w:ascii="Times New Roman;serif" w:hAnsi="Times New Roman;serif"/>
          <w:b w:val="false"/>
          <w:i/>
          <w:color w:val="000000"/>
          <w:sz w:val="20"/>
          <w:u w:val="single"/>
        </w:rPr>
        <w:t>Shawn K. Singh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Shawn K. Singh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Interim Principal Financial Officer</w:t>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1685/000162828025047188/ex101.htm" TargetMode="External"/><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66063</Words>
  <Characters>378097</Characters>
  <CharactersWithSpaces>442556</CharactersWithSpaces>
  <Paragraphs>2385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