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22026_080729.xml.htm"/>
      <w:bookmarkStart w:id="1" w:name="ksform407022026_0807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Singh Shawn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574"/>
        <w:gridCol w:w="372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36,818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0.1921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54,846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20,875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1997 Singh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acquisition of shares under the Issuer's 2019 Employee Stock Purchase Plan, as amended (the "ESPP"), in a transaction exempt under Rule 16b-3 and Rule 16b-3(d). The Reporting Person purchased the maximum amount permitted under the ESPP.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1997 Singh Family Trust U/R/D 05/29/1997.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Nick B. Tressler,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2071" TargetMode="External"/><Relationship Id="rId5" Type="http://schemas.openxmlformats.org/officeDocument/2006/relationships/hyperlink" Target="http://www.sec.gov/cgi-bin/browse-edgar?action=getcompany&amp;CIK=00014116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3403</Characters>
  <CharactersWithSpaces>3964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