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59" w:lineRule="exact"/>
        <w:rPr>
          <w:sz w:val="24"/>
          <w:szCs w:val="24"/>
          <w:color w:val="auto"/>
        </w:rPr>
      </w:pPr>
    </w:p>
    <w:p>
      <w:pPr>
        <w:ind w:left="640" w:hanging="466"/>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0" w:lineRule="exact"/>
        <w:rPr>
          <w:sz w:val="24"/>
          <w:szCs w:val="24"/>
          <w:color w:val="auto"/>
        </w:rPr>
      </w:pPr>
    </w:p>
    <w:p>
      <w:pPr>
        <w:ind w:left="640" w:hanging="466"/>
        <w:spacing w:after="0"/>
        <w:tabs>
          <w:tab w:leader="none" w:pos="6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93"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001-37761</w:t>
      </w:r>
    </w:p>
    <w:p>
      <w:pPr>
        <w:spacing w:after="0" w:line="1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VISTAGEN THERAPEUTICS, INC.</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28" w:lineRule="exact"/>
        <w:rPr>
          <w:sz w:val="24"/>
          <w:szCs w:val="24"/>
          <w:color w:val="auto"/>
        </w:rPr>
      </w:pPr>
    </w:p>
    <w:tbl>
      <w:tblPr>
        <w:tblLayout w:type="fixed"/>
        <w:tblInd w:w="1700" w:type="dxa"/>
        <w:tblCellMar>
          <w:top w:w="0" w:type="dxa"/>
          <w:left w:w="0" w:type="dxa"/>
          <w:bottom w:w="0" w:type="dxa"/>
          <w:right w:w="0" w:type="dxa"/>
        </w:tblCellMar>
      </w:tblPr>
      <w:tr>
        <w:trPr>
          <w:trHeight w:val="238"/>
        </w:trPr>
        <w:tc>
          <w:tcPr>
            <w:tcW w:w="4140" w:type="dxa"/>
            <w:vAlign w:val="bottom"/>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2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8"/>
              </w:rPr>
              <w:t>20-5093315</w:t>
            </w:r>
          </w:p>
        </w:tc>
      </w:tr>
      <w:tr>
        <w:trPr>
          <w:trHeight w:val="223"/>
        </w:trPr>
        <w:tc>
          <w:tcPr>
            <w:tcW w:w="4140" w:type="dxa"/>
            <w:vAlign w:val="bottom"/>
          </w:tcPr>
          <w:p>
            <w:pPr>
              <w:jc w:val="center"/>
              <w:ind w:right="181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3260" w:type="dxa"/>
            <w:vAlign w:val="bottom"/>
          </w:tcPr>
          <w:p>
            <w:pPr>
              <w:jc w:val="center"/>
              <w:ind w:left="185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4140" w:type="dxa"/>
            <w:vAlign w:val="bottom"/>
          </w:tcPr>
          <w:p>
            <w:pPr>
              <w:jc w:val="center"/>
              <w:ind w:right="183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3260" w:type="dxa"/>
            <w:vAlign w:val="bottom"/>
          </w:tcPr>
          <w:p>
            <w:pPr>
              <w:jc w:val="center"/>
              <w:ind w:left="1830"/>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bl>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343 Allerton Avenue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including zip code)</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418"/>
        </w:trPr>
        <w:tc>
          <w:tcPr>
            <w:tcW w:w="16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640" w:type="dxa"/>
            <w:vAlign w:val="bottom"/>
          </w:tcPr>
          <w:p>
            <w:pPr>
              <w:spacing w:after="0"/>
              <w:rPr>
                <w:sz w:val="24"/>
                <w:szCs w:val="24"/>
                <w:color w:val="auto"/>
              </w:rPr>
            </w:pPr>
          </w:p>
        </w:tc>
        <w:tc>
          <w:tcPr>
            <w:tcW w:w="284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6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77"/>
        </w:trPr>
        <w:tc>
          <w:tcPr>
            <w:tcW w:w="45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380" w:type="dxa"/>
            <w:vAlign w:val="bottom"/>
          </w:tcPr>
          <w:p>
            <w:pPr>
              <w:spacing w:after="0"/>
              <w:rPr>
                <w:sz w:val="24"/>
                <w:szCs w:val="24"/>
                <w:color w:val="auto"/>
              </w:rPr>
            </w:pPr>
          </w:p>
        </w:tc>
        <w:tc>
          <w:tcPr>
            <w:tcW w:w="246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color w:val="auto"/>
                <w:w w:val="99"/>
              </w:rPr>
              <w:t>VTGN</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6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89"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120"/>
              <w:spacing w:after="0"/>
              <w:rPr>
                <w:sz w:val="20"/>
                <w:szCs w:val="20"/>
                <w:color w:val="auto"/>
              </w:rPr>
            </w:pPr>
            <w:r>
              <w:rPr>
                <w:rFonts w:ascii="Wingdings" w:cs="Wingdings" w:eastAsia="Wingdings" w:hAnsi="Wingdings"/>
                <w:sz w:val="18"/>
                <w:szCs w:val="18"/>
                <w:b w:val="1"/>
                <w:bCs w:val="1"/>
                <w:color w:val="auto"/>
              </w:rPr>
              <w:t>o</w:t>
            </w:r>
          </w:p>
        </w:tc>
        <w:tc>
          <w:tcPr>
            <w:tcW w:w="37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Accelerated filer</w:t>
            </w:r>
          </w:p>
        </w:tc>
        <w:tc>
          <w:tcPr>
            <w:tcW w:w="1140" w:type="dxa"/>
            <w:vAlign w:val="bottom"/>
          </w:tcPr>
          <w:p>
            <w:pPr>
              <w:ind w:left="940"/>
              <w:spacing w:after="0"/>
              <w:rPr>
                <w:sz w:val="20"/>
                <w:szCs w:val="20"/>
                <w:color w:val="auto"/>
              </w:rPr>
            </w:pPr>
            <w:r>
              <w:rPr>
                <w:rFonts w:ascii="Wingdings" w:cs="Wingdings" w:eastAsia="Wingdings" w:hAnsi="Wingdings"/>
                <w:sz w:val="18"/>
                <w:szCs w:val="18"/>
                <w:b w:val="1"/>
                <w:bCs w:val="1"/>
                <w:color w:val="auto"/>
              </w:rPr>
              <w:t>o</w:t>
            </w:r>
          </w:p>
        </w:tc>
      </w:tr>
      <w:tr>
        <w:trPr>
          <w:trHeight w:val="25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120"/>
              <w:spacing w:after="0"/>
              <w:rPr>
                <w:sz w:val="20"/>
                <w:szCs w:val="20"/>
                <w:color w:val="auto"/>
              </w:rPr>
            </w:pPr>
            <w:r>
              <w:rPr>
                <w:rFonts w:ascii="Wingdings" w:cs="Wingdings" w:eastAsia="Wingdings" w:hAnsi="Wingdings"/>
                <w:sz w:val="18"/>
                <w:szCs w:val="18"/>
                <w:b w:val="1"/>
                <w:bCs w:val="1"/>
                <w:color w:val="auto"/>
              </w:rPr>
              <w:t>x</w:t>
            </w:r>
          </w:p>
        </w:tc>
        <w:tc>
          <w:tcPr>
            <w:tcW w:w="37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40" w:type="dxa"/>
            <w:vAlign w:val="bottom"/>
          </w:tcPr>
          <w:p>
            <w:pPr>
              <w:ind w:left="940"/>
              <w:spacing w:after="0"/>
              <w:rPr>
                <w:sz w:val="20"/>
                <w:szCs w:val="20"/>
                <w:color w:val="auto"/>
              </w:rPr>
            </w:pPr>
            <w:r>
              <w:rPr>
                <w:rFonts w:ascii="Wingdings" w:cs="Wingdings" w:eastAsia="Wingdings" w:hAnsi="Wingdings"/>
                <w:sz w:val="18"/>
                <w:szCs w:val="18"/>
                <w:b w:val="1"/>
                <w:bCs w:val="1"/>
                <w:color w:val="auto"/>
                <w:w w:val="94"/>
              </w:rPr>
              <w:t>x</w:t>
            </w:r>
          </w:p>
        </w:tc>
      </w:tr>
      <w:tr>
        <w:trPr>
          <w:trHeight w:val="256"/>
        </w:trPr>
        <w:tc>
          <w:tcPr>
            <w:tcW w:w="274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7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40" w:type="dxa"/>
            <w:vAlign w:val="bottom"/>
          </w:tcPr>
          <w:p>
            <w:pPr>
              <w:ind w:left="940"/>
              <w:spacing w:after="0"/>
              <w:rPr>
                <w:sz w:val="20"/>
                <w:szCs w:val="20"/>
                <w:color w:val="auto"/>
              </w:rPr>
            </w:pPr>
            <w:r>
              <w:rPr>
                <w:rFonts w:ascii="Wingdings" w:cs="Wingdings" w:eastAsia="Wingdings" w:hAnsi="Wingdings"/>
                <w:sz w:val="18"/>
                <w:szCs w:val="18"/>
                <w:b w:val="1"/>
                <w:bCs w:val="1"/>
                <w:color w:val="auto"/>
              </w:rPr>
              <w:t>o</w:t>
            </w:r>
          </w:p>
        </w:tc>
      </w:tr>
    </w:tbl>
    <w:p>
      <w:pPr>
        <w:spacing w:after="0" w:line="26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4, 2025, 30,680,471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171450</wp:posOffset>
            </wp:positionV>
            <wp:extent cx="70465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197485</wp:posOffset>
            </wp:positionV>
            <wp:extent cx="70465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740" w:type="dxa"/>
            <w:vAlign w:val="bottom"/>
          </w:tcPr>
          <w:p>
            <w:pPr>
              <w:spacing w:after="0"/>
              <w:rPr>
                <w:sz w:val="20"/>
                <w:szCs w:val="20"/>
                <w:color w:val="auto"/>
              </w:rPr>
            </w:pPr>
          </w:p>
        </w:tc>
        <w:tc>
          <w:tcPr>
            <w:tcW w:w="25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Page</w:t>
            </w:r>
          </w:p>
        </w:tc>
      </w:tr>
      <w:tr>
        <w:trPr>
          <w:trHeight w:val="263"/>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500" w:type="dxa"/>
            <w:vAlign w:val="bottom"/>
            <w:shd w:val="clear" w:color="auto" w:fill="CCEEFF"/>
          </w:tcPr>
          <w:p>
            <w:pPr>
              <w:spacing w:after="0"/>
              <w:rPr>
                <w:sz w:val="22"/>
                <w:szCs w:val="22"/>
                <w:color w:val="auto"/>
              </w:rPr>
            </w:pPr>
          </w:p>
        </w:tc>
      </w:tr>
      <w:tr>
        <w:trPr>
          <w:trHeight w:val="270"/>
        </w:trPr>
        <w:tc>
          <w:tcPr>
            <w:tcW w:w="874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57"/>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 Condensed Consolidated Financial Statements</w:t>
            </w:r>
          </w:p>
        </w:tc>
        <w:tc>
          <w:tcPr>
            <w:tcW w:w="250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88"/>
              </w:rPr>
              <w:t>1</w:t>
            </w:r>
          </w:p>
        </w:tc>
      </w:tr>
      <w:tr>
        <w:trPr>
          <w:trHeight w:val="250"/>
        </w:trPr>
        <w:tc>
          <w:tcPr>
            <w:tcW w:w="87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25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88"/>
              </w:rPr>
              <w:t>1</w:t>
            </w:r>
          </w:p>
        </w:tc>
      </w:tr>
      <w:tr>
        <w:trPr>
          <w:trHeight w:val="263"/>
        </w:trPr>
        <w:tc>
          <w:tcPr>
            <w:tcW w:w="87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w:t>
            </w:r>
          </w:p>
        </w:tc>
        <w:tc>
          <w:tcPr>
            <w:tcW w:w="250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88"/>
              </w:rPr>
              <w:t>2</w:t>
            </w:r>
          </w:p>
        </w:tc>
      </w:tr>
      <w:tr>
        <w:trPr>
          <w:trHeight w:val="250"/>
        </w:trPr>
        <w:tc>
          <w:tcPr>
            <w:tcW w:w="87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tc>
        <w:tc>
          <w:tcPr>
            <w:tcW w:w="25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88"/>
              </w:rPr>
              <w:t>3</w:t>
            </w:r>
          </w:p>
        </w:tc>
      </w:tr>
      <w:tr>
        <w:trPr>
          <w:trHeight w:val="263"/>
        </w:trPr>
        <w:tc>
          <w:tcPr>
            <w:tcW w:w="87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250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88"/>
              </w:rPr>
              <w:t>4</w:t>
            </w:r>
          </w:p>
        </w:tc>
      </w:tr>
      <w:tr>
        <w:trPr>
          <w:trHeight w:val="250"/>
        </w:trPr>
        <w:tc>
          <w:tcPr>
            <w:tcW w:w="87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tc>
        <w:tc>
          <w:tcPr>
            <w:tcW w:w="25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88"/>
              </w:rPr>
              <w:t>5</w:t>
            </w:r>
          </w:p>
        </w:tc>
      </w:tr>
      <w:tr>
        <w:trPr>
          <w:trHeight w:val="263"/>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2500" w:type="dxa"/>
            <w:vAlign w:val="bottom"/>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9"/>
              </w:rPr>
              <w:t>13</w:t>
            </w:r>
          </w:p>
        </w:tc>
      </w:tr>
      <w:tr>
        <w:trPr>
          <w:trHeight w:val="25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250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27</w:t>
            </w:r>
          </w:p>
        </w:tc>
      </w:tr>
      <w:tr>
        <w:trPr>
          <w:trHeight w:val="263"/>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2500" w:type="dxa"/>
            <w:vAlign w:val="bottom"/>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9"/>
              </w:rPr>
              <w:t>28</w:t>
            </w:r>
          </w:p>
        </w:tc>
      </w:tr>
      <w:tr>
        <w:trPr>
          <w:trHeight w:val="270"/>
        </w:trPr>
        <w:tc>
          <w:tcPr>
            <w:tcW w:w="874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57"/>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2500" w:type="dxa"/>
            <w:vAlign w:val="bottom"/>
            <w:shd w:val="clear" w:color="auto" w:fill="CCEEFF"/>
          </w:tcPr>
          <w:p>
            <w:pPr>
              <w:spacing w:after="0"/>
              <w:rPr>
                <w:sz w:val="22"/>
                <w:szCs w:val="22"/>
                <w:color w:val="auto"/>
              </w:rPr>
            </w:pPr>
          </w:p>
        </w:tc>
      </w:tr>
      <w:tr>
        <w:trPr>
          <w:trHeight w:val="270"/>
        </w:trPr>
        <w:tc>
          <w:tcPr>
            <w:tcW w:w="874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57"/>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 Legal Proceedings</w:t>
            </w:r>
          </w:p>
        </w:tc>
        <w:tc>
          <w:tcPr>
            <w:tcW w:w="2500" w:type="dxa"/>
            <w:vAlign w:val="bottom"/>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9"/>
              </w:rPr>
              <w:t>29</w:t>
            </w:r>
          </w:p>
        </w:tc>
      </w:tr>
      <w:tr>
        <w:trPr>
          <w:trHeight w:val="25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 Risk Factors</w:t>
            </w:r>
          </w:p>
        </w:tc>
        <w:tc>
          <w:tcPr>
            <w:tcW w:w="250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29</w:t>
            </w:r>
          </w:p>
        </w:tc>
      </w:tr>
      <w:tr>
        <w:trPr>
          <w:trHeight w:val="263"/>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2500" w:type="dxa"/>
            <w:vAlign w:val="bottom"/>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9"/>
              </w:rPr>
              <w:t>81</w:t>
            </w:r>
          </w:p>
        </w:tc>
      </w:tr>
      <w:tr>
        <w:trPr>
          <w:trHeight w:val="25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 Defaults Upon Senior Securities</w:t>
            </w:r>
          </w:p>
        </w:tc>
        <w:tc>
          <w:tcPr>
            <w:tcW w:w="250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81</w:t>
            </w:r>
          </w:p>
        </w:tc>
      </w:tr>
      <w:tr>
        <w:trPr>
          <w:trHeight w:val="263"/>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2500" w:type="dxa"/>
            <w:vAlign w:val="bottom"/>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9"/>
              </w:rPr>
              <w:t>81</w:t>
            </w:r>
          </w:p>
        </w:tc>
      </w:tr>
      <w:tr>
        <w:trPr>
          <w:trHeight w:val="25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 Other Information</w:t>
            </w:r>
          </w:p>
        </w:tc>
        <w:tc>
          <w:tcPr>
            <w:tcW w:w="250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81</w:t>
            </w:r>
          </w:p>
        </w:tc>
      </w:tr>
      <w:tr>
        <w:trPr>
          <w:trHeight w:val="263"/>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6. Exhibits</w:t>
            </w:r>
          </w:p>
        </w:tc>
        <w:tc>
          <w:tcPr>
            <w:tcW w:w="2500" w:type="dxa"/>
            <w:vAlign w:val="bottom"/>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9"/>
              </w:rPr>
              <w:t>82</w:t>
            </w:r>
          </w:p>
        </w:tc>
      </w:tr>
      <w:tr>
        <w:trPr>
          <w:trHeight w:val="270"/>
        </w:trPr>
        <w:tc>
          <w:tcPr>
            <w:tcW w:w="874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5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2500" w:type="dxa"/>
            <w:vAlign w:val="bottom"/>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9"/>
              </w:rPr>
              <w:t>83</w:t>
            </w:r>
          </w:p>
        </w:tc>
      </w:tr>
      <w:tr>
        <w:trPr>
          <w:trHeight w:val="1006"/>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920" w:type="dxa"/>
            <w:vAlign w:val="bottom"/>
          </w:tcPr>
          <w:p>
            <w:pPr>
              <w:jc w:val="center"/>
              <w:ind w:left="3250"/>
              <w:spacing w:after="0"/>
              <w:rPr>
                <w:sz w:val="20"/>
                <w:szCs w:val="20"/>
                <w:color w:val="auto"/>
              </w:rPr>
            </w:pPr>
            <w:r>
              <w:rPr>
                <w:rFonts w:ascii="Times New Roman" w:cs="Times New Roman" w:eastAsia="Times New Roman" w:hAnsi="Times New Roman"/>
                <w:sz w:val="18"/>
                <w:szCs w:val="18"/>
                <w:b w:val="1"/>
                <w:bCs w:val="1"/>
                <w:color w:val="auto"/>
                <w:w w:val="99"/>
              </w:rPr>
              <w:t>VISTAGEN THERAPEUTICS, INC.</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20" w:type="dxa"/>
            <w:vAlign w:val="bottom"/>
          </w:tcPr>
          <w:p>
            <w:pPr>
              <w:jc w:val="center"/>
              <w:ind w:left="323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920" w:type="dxa"/>
            <w:vAlign w:val="bottom"/>
          </w:tcPr>
          <w:p>
            <w:pPr>
              <w:jc w:val="center"/>
              <w:ind w:left="32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par value amounts)</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7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60" w:type="dxa"/>
            <w:vAlign w:val="bottom"/>
          </w:tcPr>
          <w:p>
            <w:pPr>
              <w:spacing w:after="0"/>
              <w:rPr>
                <w:sz w:val="24"/>
                <w:szCs w:val="24"/>
                <w:color w:val="auto"/>
              </w:rPr>
            </w:pPr>
          </w:p>
        </w:tc>
        <w:tc>
          <w:tcPr>
            <w:tcW w:w="13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7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43"/>
        </w:trPr>
        <w:tc>
          <w:tcPr>
            <w:tcW w:w="7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920" w:type="dxa"/>
            <w:vAlign w:val="bottom"/>
            <w:shd w:val="clear" w:color="auto" w:fill="CCEEFF"/>
          </w:tcPr>
          <w:p>
            <w:pPr>
              <w:jc w:val="center"/>
              <w:ind w:left="32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67,131</w:t>
            </w:r>
          </w:p>
        </w:tc>
        <w:tc>
          <w:tcPr>
            <w:tcW w:w="0" w:type="dxa"/>
            <w:vAlign w:val="bottom"/>
          </w:tcPr>
          <w:p>
            <w:pPr>
              <w:spacing w:after="0"/>
              <w:rPr>
                <w:sz w:val="1"/>
                <w:szCs w:val="1"/>
                <w:color w:val="auto"/>
              </w:rPr>
            </w:pPr>
          </w:p>
        </w:tc>
      </w:tr>
      <w:tr>
        <w:trPr>
          <w:trHeight w:val="250"/>
        </w:trPr>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13,351</w:t>
            </w:r>
          </w:p>
        </w:tc>
        <w:tc>
          <w:tcPr>
            <w:tcW w:w="0" w:type="dxa"/>
            <w:vAlign w:val="bottom"/>
          </w:tcPr>
          <w:p>
            <w:pPr>
              <w:spacing w:after="0"/>
              <w:rPr>
                <w:sz w:val="1"/>
                <w:szCs w:val="1"/>
                <w:color w:val="auto"/>
              </w:rPr>
            </w:pPr>
          </w:p>
        </w:tc>
      </w:tr>
      <w:tr>
        <w:trPr>
          <w:trHeight w:val="257"/>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50"/>
        </w:trPr>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82,076</w:t>
            </w:r>
          </w:p>
        </w:tc>
        <w:tc>
          <w:tcPr>
            <w:tcW w:w="0" w:type="dxa"/>
            <w:vAlign w:val="bottom"/>
          </w:tcPr>
          <w:p>
            <w:pPr>
              <w:spacing w:after="0"/>
              <w:rPr>
                <w:sz w:val="1"/>
                <w:szCs w:val="1"/>
                <w:color w:val="auto"/>
              </w:rPr>
            </w:pPr>
          </w:p>
        </w:tc>
      </w:tr>
      <w:tr>
        <w:trPr>
          <w:trHeight w:val="26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5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 - operating lease</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0" w:type="dxa"/>
            <w:vAlign w:val="bottom"/>
          </w:tcPr>
          <w:p>
            <w:pPr>
              <w:spacing w:after="0"/>
              <w:rPr>
                <w:sz w:val="1"/>
                <w:szCs w:val="1"/>
                <w:color w:val="auto"/>
              </w:rPr>
            </w:pPr>
          </w:p>
        </w:tc>
      </w:tr>
      <w:tr>
        <w:trPr>
          <w:trHeight w:val="257"/>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57"/>
        </w:trPr>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68,924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84,341</w:t>
            </w:r>
          </w:p>
        </w:tc>
        <w:tc>
          <w:tcPr>
            <w:tcW w:w="0" w:type="dxa"/>
            <w:vAlign w:val="bottom"/>
          </w:tcPr>
          <w:p>
            <w:pPr>
              <w:spacing w:after="0"/>
              <w:rPr>
                <w:sz w:val="1"/>
                <w:szCs w:val="1"/>
                <w:color w:val="auto"/>
              </w:rPr>
            </w:pP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20" w:type="dxa"/>
            <w:vAlign w:val="bottom"/>
            <w:shd w:val="clear" w:color="auto" w:fill="CCEEFF"/>
          </w:tcPr>
          <w:p>
            <w:pPr>
              <w:jc w:val="center"/>
              <w:ind w:left="323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50"/>
        </w:trPr>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0" w:type="dxa"/>
            <w:vAlign w:val="bottom"/>
          </w:tcPr>
          <w:p>
            <w:pPr>
              <w:spacing w:after="0"/>
              <w:rPr>
                <w:sz w:val="1"/>
                <w:szCs w:val="1"/>
                <w:color w:val="auto"/>
              </w:rPr>
            </w:pPr>
          </w:p>
        </w:tc>
      </w:tr>
      <w:tr>
        <w:trPr>
          <w:trHeight w:val="263"/>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 payable</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 - current portion</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0" w:type="dxa"/>
            <w:vAlign w:val="bottom"/>
          </w:tcPr>
          <w:p>
            <w:pPr>
              <w:spacing w:after="0"/>
              <w:rPr>
                <w:sz w:val="1"/>
                <w:szCs w:val="1"/>
                <w:color w:val="auto"/>
              </w:rPr>
            </w:pPr>
          </w:p>
        </w:tc>
      </w:tr>
      <w:tr>
        <w:trPr>
          <w:trHeight w:val="257"/>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obligation - current portion</w:t>
            </w:r>
          </w:p>
        </w:tc>
        <w:tc>
          <w:tcPr>
            <w:tcW w:w="2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5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12,612</w:t>
            </w:r>
          </w:p>
        </w:tc>
        <w:tc>
          <w:tcPr>
            <w:tcW w:w="0" w:type="dxa"/>
            <w:vAlign w:val="bottom"/>
          </w:tcPr>
          <w:p>
            <w:pPr>
              <w:spacing w:after="0"/>
              <w:rPr>
                <w:sz w:val="1"/>
                <w:szCs w:val="1"/>
                <w:color w:val="auto"/>
              </w:rPr>
            </w:pPr>
          </w:p>
        </w:tc>
      </w:tr>
      <w:tr>
        <w:trPr>
          <w:trHeight w:val="26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 non-current portion</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5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obligation - non-current portion</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57"/>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13,951</w:t>
            </w:r>
          </w:p>
        </w:tc>
        <w:tc>
          <w:tcPr>
            <w:tcW w:w="0" w:type="dxa"/>
            <w:vAlign w:val="bottom"/>
          </w:tcPr>
          <w:p>
            <w:pPr>
              <w:spacing w:after="0"/>
              <w:rPr>
                <w:sz w:val="1"/>
                <w:szCs w:val="1"/>
                <w:color w:val="auto"/>
              </w:rPr>
            </w:pPr>
          </w:p>
        </w:tc>
      </w:tr>
      <w:tr>
        <w:trPr>
          <w:trHeight w:val="25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at June 30, 2025 and March 31, 2025; no</w:t>
            </w:r>
          </w:p>
        </w:tc>
        <w:tc>
          <w:tcPr>
            <w:tcW w:w="240" w:type="dxa"/>
            <w:vAlign w:val="bottom"/>
          </w:tcPr>
          <w:p>
            <w:pPr>
              <w:spacing w:after="0"/>
              <w:rPr>
                <w:sz w:val="19"/>
                <w:szCs w:val="19"/>
                <w:color w:val="auto"/>
              </w:rPr>
            </w:pPr>
          </w:p>
        </w:tc>
        <w:tc>
          <w:tcPr>
            <w:tcW w:w="14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outstanding at June 30, 2025 and March 31, 2025</w:t>
            </w:r>
          </w:p>
        </w:tc>
        <w:tc>
          <w:tcPr>
            <w:tcW w:w="24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$0.001 par value; 325,000,000 shares authorized at June 30, 2025 and March 31, 2025;</w:t>
            </w:r>
          </w:p>
        </w:tc>
        <w:tc>
          <w:tcPr>
            <w:tcW w:w="240" w:type="dxa"/>
            <w:vAlign w:val="bottom"/>
            <w:shd w:val="clear" w:color="auto" w:fill="CCEEFF"/>
          </w:tcPr>
          <w:p>
            <w:pPr>
              <w:spacing w:after="0"/>
              <w:rPr>
                <w:sz w:val="19"/>
                <w:szCs w:val="19"/>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4"/>
        </w:trPr>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29,286,585 and 29,001,481 shares issued at June 30, 2025 and March 31, 2025, respectively</w:t>
            </w:r>
          </w:p>
        </w:tc>
        <w:tc>
          <w:tcPr>
            <w:tcW w:w="240" w:type="dxa"/>
            <w:vAlign w:val="bottom"/>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481,956</w:t>
            </w:r>
          </w:p>
        </w:tc>
        <w:tc>
          <w:tcPr>
            <w:tcW w:w="0" w:type="dxa"/>
            <w:vAlign w:val="bottom"/>
          </w:tcPr>
          <w:p>
            <w:pPr>
              <w:spacing w:after="0"/>
              <w:rPr>
                <w:sz w:val="1"/>
                <w:szCs w:val="1"/>
                <w:color w:val="auto"/>
              </w:rPr>
            </w:pPr>
          </w:p>
        </w:tc>
      </w:tr>
      <w:tr>
        <w:trPr>
          <w:trHeight w:val="263"/>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at cost, 4,522 shares of common stock held at June 30, 2025 and March 31, 2025</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0" w:type="dxa"/>
            <w:vAlign w:val="bottom"/>
          </w:tcPr>
          <w:p>
            <w:pPr>
              <w:spacing w:after="0"/>
              <w:rPr>
                <w:sz w:val="1"/>
                <w:szCs w:val="1"/>
                <w:color w:val="auto"/>
              </w:rPr>
            </w:pPr>
          </w:p>
        </w:tc>
      </w:tr>
      <w:tr>
        <w:trPr>
          <w:trHeight w:val="250"/>
        </w:trPr>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7"/>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(422,727)</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(407,632)</w:t>
            </w:r>
          </w:p>
        </w:tc>
        <w:tc>
          <w:tcPr>
            <w:tcW w:w="0" w:type="dxa"/>
            <w:vAlign w:val="bottom"/>
          </w:tcPr>
          <w:p>
            <w:pPr>
              <w:spacing w:after="0"/>
              <w:rPr>
                <w:sz w:val="1"/>
                <w:szCs w:val="1"/>
                <w:color w:val="auto"/>
              </w:rPr>
            </w:pPr>
          </w:p>
        </w:tc>
      </w:tr>
      <w:tr>
        <w:trPr>
          <w:trHeight w:val="250"/>
        </w:trPr>
        <w:tc>
          <w:tcPr>
            <w:tcW w:w="79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56,765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70,390</w:t>
            </w:r>
          </w:p>
        </w:tc>
        <w:tc>
          <w:tcPr>
            <w:tcW w:w="0" w:type="dxa"/>
            <w:vAlign w:val="bottom"/>
          </w:tcPr>
          <w:p>
            <w:pPr>
              <w:spacing w:after="0"/>
              <w:rPr>
                <w:sz w:val="1"/>
                <w:szCs w:val="1"/>
                <w:color w:val="auto"/>
              </w:rPr>
            </w:pPr>
          </w:p>
        </w:tc>
      </w:tr>
      <w:tr>
        <w:trPr>
          <w:trHeight w:val="281"/>
        </w:trPr>
        <w:tc>
          <w:tcPr>
            <w:tcW w:w="7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84,341</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21590</wp:posOffset>
            </wp:positionV>
            <wp:extent cx="19456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Sublicense and other revenue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57"/>
        </w:trPr>
        <w:tc>
          <w:tcPr>
            <w:tcW w:w="8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w:t>
            </w:r>
          </w:p>
        </w:tc>
      </w:tr>
      <w:tr>
        <w:trPr>
          <w:trHeight w:val="250"/>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4,567</w:t>
            </w:r>
          </w:p>
        </w:tc>
      </w:tr>
      <w:tr>
        <w:trPr>
          <w:trHeight w:val="250"/>
        </w:trPr>
        <w:tc>
          <w:tcPr>
            <w:tcW w:w="8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12,215</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(12,131)</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r>
      <w:tr>
        <w:trPr>
          <w:trHeight w:val="257"/>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(10,733)</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(10,733)</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(15,099)</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(10,731)</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31,930,665</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30,603,435</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1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9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20" w:type="dxa"/>
            <w:vAlign w:val="bottom"/>
          </w:tcPr>
          <w:p>
            <w:pPr>
              <w:spacing w:after="0"/>
              <w:rPr>
                <w:sz w:val="17"/>
                <w:szCs w:val="17"/>
                <w:color w:val="auto"/>
              </w:rPr>
            </w:pPr>
          </w:p>
        </w:tc>
        <w:tc>
          <w:tcPr>
            <w:tcW w:w="1200" w:type="dxa"/>
            <w:vAlign w:val="bottom"/>
            <w:gridSpan w:val="2"/>
          </w:tcPr>
          <w:p>
            <w:pPr>
              <w:jc w:val="center"/>
              <w:ind w:right="1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940" w:type="dxa"/>
            <w:vAlign w:val="bottom"/>
          </w:tcPr>
          <w:p>
            <w:pPr>
              <w:spacing w:after="0"/>
              <w:rPr>
                <w:sz w:val="14"/>
                <w:szCs w:val="14"/>
                <w:color w:val="auto"/>
              </w:rPr>
            </w:pPr>
          </w:p>
        </w:tc>
        <w:tc>
          <w:tcPr>
            <w:tcW w:w="148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40"/>
              <w:spacing w:after="0" w:line="164" w:lineRule="exact"/>
              <w:rPr>
                <w:sz w:val="20"/>
                <w:szCs w:val="20"/>
                <w:color w:val="auto"/>
              </w:rPr>
            </w:pPr>
            <w:r>
              <w:rPr>
                <w:rFonts w:ascii="Times New Roman" w:cs="Times New Roman" w:eastAsia="Times New Roman" w:hAnsi="Times New Roman"/>
                <w:sz w:val="18"/>
                <w:szCs w:val="18"/>
                <w:b w:val="1"/>
                <w:bCs w:val="1"/>
                <w:color w:val="auto"/>
              </w:rPr>
              <w:t>Paid-in</w:t>
            </w:r>
          </w:p>
        </w:tc>
        <w:tc>
          <w:tcPr>
            <w:tcW w:w="940" w:type="dxa"/>
            <w:vAlign w:val="bottom"/>
            <w:gridSpan w:val="3"/>
            <w:vMerge w:val="continue"/>
          </w:tcPr>
          <w:p>
            <w:pPr>
              <w:spacing w:after="0"/>
              <w:rPr>
                <w:sz w:val="14"/>
                <w:szCs w:val="14"/>
                <w:color w:val="auto"/>
              </w:rPr>
            </w:pPr>
          </w:p>
        </w:tc>
        <w:tc>
          <w:tcPr>
            <w:tcW w:w="1320" w:type="dxa"/>
            <w:vAlign w:val="bottom"/>
            <w:gridSpan w:val="3"/>
          </w:tcPr>
          <w:p>
            <w:pPr>
              <w:jc w:val="center"/>
              <w:ind w:right="80"/>
              <w:spacing w:after="0" w:line="164"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60" w:type="dxa"/>
            <w:vAlign w:val="bottom"/>
            <w:gridSpan w:val="3"/>
            <w:vMerge w:val="continue"/>
          </w:tcPr>
          <w:p>
            <w:pPr>
              <w:spacing w:after="0"/>
              <w:rPr>
                <w:sz w:val="14"/>
                <w:szCs w:val="14"/>
                <w:color w:val="auto"/>
              </w:rPr>
            </w:pPr>
          </w:p>
        </w:tc>
        <w:tc>
          <w:tcPr>
            <w:tcW w:w="110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63"/>
        </w:trPr>
        <w:tc>
          <w:tcPr>
            <w:tcW w:w="394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57"/>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27,029,731</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27</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474,441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(3,968)</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(356,214)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114,286</w:t>
            </w:r>
          </w:p>
        </w:tc>
        <w:tc>
          <w:tcPr>
            <w:tcW w:w="0" w:type="dxa"/>
            <w:vAlign w:val="bottom"/>
          </w:tcPr>
          <w:p>
            <w:pPr>
              <w:spacing w:after="0"/>
              <w:rPr>
                <w:sz w:val="1"/>
                <w:szCs w:val="1"/>
                <w:color w:val="auto"/>
              </w:rPr>
            </w:pPr>
          </w:p>
        </w:tc>
      </w:tr>
      <w:tr>
        <w:trPr>
          <w:trHeight w:val="25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31"/>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of common stock pursuant to 2019 Employee</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29,898</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0"/>
                <w:szCs w:val="2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6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4"/>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Purchase Plan</w:t>
            </w: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 securities available-</w:t>
            </w: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for-sale, net</w:t>
            </w:r>
          </w:p>
        </w:tc>
        <w:tc>
          <w:tcPr>
            <w:tcW w:w="940" w:type="dxa"/>
            <w:vAlign w:val="bottom"/>
            <w:gridSpan w:val="2"/>
            <w:vMerge w:val="continue"/>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0" w:type="dxa"/>
            <w:vAlign w:val="bottom"/>
          </w:tcPr>
          <w:p>
            <w:pPr>
              <w:spacing w:after="0"/>
              <w:rPr>
                <w:sz w:val="1"/>
                <w:szCs w:val="1"/>
                <w:color w:val="auto"/>
              </w:rPr>
            </w:pPr>
          </w:p>
        </w:tc>
      </w:tr>
      <w:tr>
        <w:trPr>
          <w:trHeight w:val="237"/>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27,059,629</w:t>
            </w:r>
          </w:p>
        </w:tc>
        <w:tc>
          <w:tcPr>
            <w:tcW w:w="80" w:type="dxa"/>
            <w:vAlign w:val="bottom"/>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27</w:t>
            </w:r>
          </w:p>
        </w:tc>
        <w:tc>
          <w:tcPr>
            <w:tcW w:w="8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475,689</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(3,968)</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(366,947)</w:t>
            </w:r>
          </w:p>
        </w:tc>
        <w:tc>
          <w:tcPr>
            <w:tcW w:w="8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9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20" w:type="dxa"/>
            <w:vAlign w:val="bottom"/>
          </w:tcPr>
          <w:p>
            <w:pPr>
              <w:spacing w:after="0"/>
              <w:rPr>
                <w:sz w:val="17"/>
                <w:szCs w:val="17"/>
                <w:color w:val="auto"/>
              </w:rPr>
            </w:pPr>
          </w:p>
        </w:tc>
        <w:tc>
          <w:tcPr>
            <w:tcW w:w="1200" w:type="dxa"/>
            <w:vAlign w:val="bottom"/>
            <w:gridSpan w:val="2"/>
          </w:tcPr>
          <w:p>
            <w:pPr>
              <w:jc w:val="center"/>
              <w:ind w:right="1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920" w:type="dxa"/>
            <w:vAlign w:val="bottom"/>
          </w:tcPr>
          <w:p>
            <w:pPr>
              <w:spacing w:after="0"/>
              <w:rPr>
                <w:sz w:val="14"/>
                <w:szCs w:val="14"/>
                <w:color w:val="auto"/>
              </w:rPr>
            </w:pPr>
          </w:p>
        </w:tc>
        <w:tc>
          <w:tcPr>
            <w:tcW w:w="1460" w:type="dxa"/>
            <w:vAlign w:val="bottom"/>
            <w:tcBorders>
              <w:bottom w:val="single" w:sz="8" w:color="auto"/>
            </w:tcBorders>
            <w:gridSpan w:val="3"/>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40"/>
              <w:spacing w:after="0" w:line="164" w:lineRule="exact"/>
              <w:rPr>
                <w:sz w:val="20"/>
                <w:szCs w:val="20"/>
                <w:color w:val="auto"/>
              </w:rPr>
            </w:pPr>
            <w:r>
              <w:rPr>
                <w:rFonts w:ascii="Times New Roman" w:cs="Times New Roman" w:eastAsia="Times New Roman" w:hAnsi="Times New Roman"/>
                <w:sz w:val="18"/>
                <w:szCs w:val="18"/>
                <w:b w:val="1"/>
                <w:bCs w:val="1"/>
                <w:color w:val="auto"/>
              </w:rPr>
              <w:t>Paid-in</w:t>
            </w:r>
          </w:p>
        </w:tc>
        <w:tc>
          <w:tcPr>
            <w:tcW w:w="960" w:type="dxa"/>
            <w:vAlign w:val="bottom"/>
            <w:gridSpan w:val="3"/>
            <w:vMerge w:val="continue"/>
          </w:tcPr>
          <w:p>
            <w:pPr>
              <w:spacing w:after="0"/>
              <w:rPr>
                <w:sz w:val="14"/>
                <w:szCs w:val="14"/>
                <w:color w:val="auto"/>
              </w:rPr>
            </w:pPr>
          </w:p>
        </w:tc>
        <w:tc>
          <w:tcPr>
            <w:tcW w:w="1320" w:type="dxa"/>
            <w:vAlign w:val="bottom"/>
            <w:gridSpan w:val="3"/>
          </w:tcPr>
          <w:p>
            <w:pPr>
              <w:jc w:val="center"/>
              <w:ind w:right="80"/>
              <w:spacing w:after="0" w:line="164"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60" w:type="dxa"/>
            <w:vAlign w:val="bottom"/>
            <w:gridSpan w:val="3"/>
            <w:vMerge w:val="continue"/>
          </w:tcPr>
          <w:p>
            <w:pPr>
              <w:spacing w:after="0"/>
              <w:rPr>
                <w:sz w:val="14"/>
                <w:szCs w:val="14"/>
                <w:color w:val="auto"/>
              </w:rPr>
            </w:pPr>
          </w:p>
        </w:tc>
        <w:tc>
          <w:tcPr>
            <w:tcW w:w="110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64"/>
        </w:trPr>
        <w:tc>
          <w:tcPr>
            <w:tcW w:w="3920" w:type="dxa"/>
            <w:vAlign w:val="bottom"/>
          </w:tcPr>
          <w:p>
            <w:pPr>
              <w:spacing w:after="0"/>
              <w:rPr>
                <w:sz w:val="22"/>
                <w:szCs w:val="22"/>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2"/>
                <w:szCs w:val="22"/>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2"/>
                <w:szCs w:val="22"/>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0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22"/>
                <w:szCs w:val="22"/>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56"/>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29,001,481</w:t>
            </w:r>
          </w:p>
        </w:tc>
        <w:tc>
          <w:tcPr>
            <w:tcW w:w="8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w:t>
            </w: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481,956</w:t>
            </w: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(3,968)</w:t>
            </w: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(407,632)</w:t>
            </w: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70,390</w:t>
            </w:r>
          </w:p>
        </w:tc>
        <w:tc>
          <w:tcPr>
            <w:tcW w:w="0" w:type="dxa"/>
            <w:vAlign w:val="bottom"/>
          </w:tcPr>
          <w:p>
            <w:pPr>
              <w:spacing w:after="0"/>
              <w:rPr>
                <w:sz w:val="1"/>
                <w:szCs w:val="1"/>
                <w:color w:val="auto"/>
              </w:rPr>
            </w:pPr>
          </w:p>
        </w:tc>
      </w:tr>
      <w:tr>
        <w:trPr>
          <w:trHeight w:val="25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31"/>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of common stock pursuant to 2019 Employee</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95,037</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0"/>
                <w:szCs w:val="2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6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4"/>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Purchase Plan</w:t>
            </w: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Open Market Sale</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190,067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3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net of issuance costs</w:t>
            </w: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 securities available-</w:t>
            </w: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4"/>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for-sale, net</w:t>
            </w:r>
          </w:p>
        </w:tc>
        <w:tc>
          <w:tcPr>
            <w:tcW w:w="940" w:type="dxa"/>
            <w:vAlign w:val="bottom"/>
            <w:gridSpan w:val="2"/>
            <w:vMerge w:val="continue"/>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(15,095)</w:t>
            </w:r>
          </w:p>
        </w:tc>
        <w:tc>
          <w:tcPr>
            <w:tcW w:w="0" w:type="dxa"/>
            <w:vAlign w:val="bottom"/>
          </w:tcPr>
          <w:p>
            <w:pPr>
              <w:spacing w:after="0"/>
              <w:rPr>
                <w:sz w:val="1"/>
                <w:szCs w:val="1"/>
                <w:color w:val="auto"/>
              </w:rPr>
            </w:pPr>
          </w:p>
        </w:tc>
      </w:tr>
      <w:tr>
        <w:trPr>
          <w:trHeight w:val="256"/>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29,286,585</w:t>
            </w:r>
          </w:p>
        </w:tc>
        <w:tc>
          <w:tcPr>
            <w:tcW w:w="8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w:t>
            </w: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483,430</w:t>
            </w: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(3,968)</w:t>
            </w: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(422,727)</w:t>
            </w: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0"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21590</wp:posOffset>
            </wp:positionV>
            <wp:extent cx="19456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(10,733)</w:t>
            </w:r>
          </w:p>
        </w:tc>
      </w:tr>
      <w:tr>
        <w:trPr>
          <w:trHeight w:val="26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6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r>
      <w:tr>
        <w:trPr>
          <w:trHeight w:val="250"/>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Amortization of operating lease right-of-use asset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6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Accretion on marketable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6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81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63"/>
        </w:trPr>
        <w:tc>
          <w:tcPr>
            <w:tcW w:w="8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50"/>
        </w:trPr>
        <w:tc>
          <w:tcPr>
            <w:tcW w:w="81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63"/>
        </w:trPr>
        <w:tc>
          <w:tcPr>
            <w:tcW w:w="8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Deferred revenue, net of deferred contract acquisition costs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50"/>
        </w:trPr>
        <w:tc>
          <w:tcPr>
            <w:tcW w:w="818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5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(10,869)</w:t>
            </w:r>
          </w:p>
        </w:tc>
      </w:tr>
      <w:tr>
        <w:trPr>
          <w:trHeight w:val="243"/>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laboratory and other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6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(5,425)</w:t>
            </w:r>
          </w:p>
        </w:tc>
      </w:tr>
      <w:tr>
        <w:trPr>
          <w:trHeight w:val="25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w:t>
            </w:r>
          </w:p>
        </w:tc>
      </w:tr>
      <w:tr>
        <w:trPr>
          <w:trHeight w:val="243"/>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proceeds from sale of common stock under Open Market Sale Agreement, net of offering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proceeds from sale of common stock under 2019 Employee Stock Purchase Plan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5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note payable for insurance policy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 of notes payable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56"/>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(16,248)</w:t>
            </w:r>
          </w:p>
        </w:tc>
      </w:tr>
      <w:tr>
        <w:trPr>
          <w:trHeight w:val="250"/>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67,131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119,166</w:t>
            </w:r>
          </w:p>
        </w:tc>
      </w:tr>
      <w:tr>
        <w:trPr>
          <w:trHeight w:val="257"/>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102,918</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Insurance premiums settled by issuing note payable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Purchases of equipment included in accounts payable and accrued liabilities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7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Vistagen Therapeutics, Inc., a Nevada corporation (</w:t>
      </w:r>
      <w:r>
        <w:rPr>
          <w:rFonts w:ascii="Times New Roman" w:cs="Times New Roman" w:eastAsia="Times New Roman" w:hAnsi="Times New Roman"/>
          <w:sz w:val="18"/>
          <w:szCs w:val="18"/>
          <w:i w:val="1"/>
          <w:iCs w:val="1"/>
          <w:color w:val="auto"/>
        </w:rPr>
        <w:t>Vistagen, the Company, we, our, or us</w:t>
      </w:r>
      <w:r>
        <w:rPr>
          <w:rFonts w:ascii="Times New Roman" w:cs="Times New Roman" w:eastAsia="Times New Roman" w:hAnsi="Times New Roman"/>
          <w:sz w:val="18"/>
          <w:szCs w:val="18"/>
          <w:color w:val="auto"/>
        </w:rPr>
        <w:t>), is a late clinical-stage biopharmaceutical company leveraging a deep understanding of nose-to-brain neurocircuitry to develop and commercialize a new class of non-systemic intranasal product candidates called pherines. Our clinical-stage neuroscience pipeline currently consists of five investigational pherine product candidates, each with a novel mechanism of action (</w:t>
      </w:r>
      <w:r>
        <w:rPr>
          <w:rFonts w:ascii="Times New Roman" w:cs="Times New Roman" w:eastAsia="Times New Roman" w:hAnsi="Times New Roman"/>
          <w:sz w:val="18"/>
          <w:szCs w:val="18"/>
          <w:i w:val="1"/>
          <w:iCs w:val="1"/>
          <w:color w:val="auto"/>
        </w:rPr>
        <w:t>MOA</w:t>
      </w:r>
      <w:r>
        <w:rPr>
          <w:rFonts w:ascii="Times New Roman" w:cs="Times New Roman" w:eastAsia="Times New Roman" w:hAnsi="Times New Roman"/>
          <w:sz w:val="18"/>
          <w:szCs w:val="18"/>
          <w:color w:val="auto"/>
        </w:rPr>
        <w:t>) and positive clinical data in their targeted indication(s). Pherines specifically and selectively bind to peripheral receptors in human nasal chemosensory neurons, and are designed to rapidly activate nose-to-brain neurocircuits believed to regulate brain areas without requiring systemic absorption or uptake into the brain to achieve desired therapeutic benefits. We are passionate about developing transformative treatment options with potential to meet clear and growing unmet needs and bring meaningful relief to patients underserved by the current standard of care for multiple highly prevalent indications, all while delivering long term value to our stockholders.</w:t>
      </w:r>
    </w:p>
    <w:p>
      <w:pPr>
        <w:spacing w:after="0" w:line="172" w:lineRule="exact"/>
        <w:rPr>
          <w:sz w:val="20"/>
          <w:szCs w:val="20"/>
          <w:color w:val="auto"/>
        </w:rPr>
      </w:pPr>
    </w:p>
    <w:p>
      <w:pPr>
        <w:ind w:right="3520" w:firstLine="8"/>
        <w:spacing w:after="0" w:line="456"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Principles of Consolidation and Summary of Significant Accounting Policies Basis of Presentation</w:t>
      </w: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w:t>
      </w:r>
      <w:r>
        <w:rPr>
          <w:rFonts w:ascii="Times New Roman" w:cs="Times New Roman" w:eastAsia="Times New Roman" w:hAnsi="Times New Roman"/>
          <w:sz w:val="18"/>
          <w:szCs w:val="18"/>
          <w:i w:val="1"/>
          <w:iCs w:val="1"/>
          <w:color w:val="auto"/>
        </w:rPr>
        <w:t>U.S. GAAP</w:t>
      </w:r>
      <w:r>
        <w:rPr>
          <w:rFonts w:ascii="Times New Roman" w:cs="Times New Roman" w:eastAsia="Times New Roman" w:hAnsi="Times New Roman"/>
          <w:sz w:val="18"/>
          <w:szCs w:val="18"/>
          <w:color w:val="auto"/>
        </w:rPr>
        <w:t>) applicable to interim financial information and pursuant to the instructions of the Securities and Exchange Commission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on Form 10-Q and Rule 10-01 of Regulation S-X. Accordingly, they do not include all of the information and footnotes required by U.S. GAAP for complete financial statements. Further, the results of our operations for any interim periods are not necessarily indicative of the results that may be expected for any other interim period or the full fiscal year. In the opinion of management, all normal and recurring adjustments considered necessary for a fair presentation have been included. The condensed consolidated balance sheet at March 31, 2025, has been derived from our audited consolidated financial statements but does not include all disclosures required by U.S. GAAP. Because all of the disclosures required by U.S. GAAP for complete financial statements are not included herein, these unaudited condensed consolidated financial statements and the accompanying notes should be read in conjunction with the Company’s Annual Report on Form 10-K for the year ended March 31, 2025 (</w:t>
      </w:r>
      <w:r>
        <w:rPr>
          <w:rFonts w:ascii="Times New Roman" w:cs="Times New Roman" w:eastAsia="Times New Roman" w:hAnsi="Times New Roman"/>
          <w:sz w:val="18"/>
          <w:szCs w:val="18"/>
          <w:i w:val="1"/>
          <w:iCs w:val="1"/>
          <w:color w:val="auto"/>
        </w:rPr>
        <w:t>Annual Report</w:t>
      </w:r>
      <w:r>
        <w:rPr>
          <w:rFonts w:ascii="Times New Roman" w:cs="Times New Roman" w:eastAsia="Times New Roman" w:hAnsi="Times New Roman"/>
          <w:sz w:val="18"/>
          <w:szCs w:val="18"/>
          <w:color w:val="auto"/>
        </w:rPr>
        <w:t>), filed with the SEC on June 17, 2025.</w:t>
      </w:r>
    </w:p>
    <w:p>
      <w:pPr>
        <w:spacing w:after="0" w:line="16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Any reference in these notes to applicable guidance is meant to refer to GAAP as found in the Accounting Standards Codification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and Accounting Standards Updates (</w:t>
      </w:r>
      <w:r>
        <w:rPr>
          <w:rFonts w:ascii="Times New Roman" w:cs="Times New Roman" w:eastAsia="Times New Roman" w:hAnsi="Times New Roman"/>
          <w:sz w:val="18"/>
          <w:szCs w:val="18"/>
          <w:i w:val="1"/>
          <w:iCs w:val="1"/>
          <w:color w:val="auto"/>
        </w:rPr>
        <w:t>ASU</w:t>
      </w:r>
      <w:r>
        <w:rPr>
          <w:rFonts w:ascii="Times New Roman" w:cs="Times New Roman" w:eastAsia="Times New Roman" w:hAnsi="Times New Roman"/>
          <w:sz w:val="18"/>
          <w:szCs w:val="18"/>
          <w:color w:val="auto"/>
        </w:rPr>
        <w:t>) promulgated by the Financial Accounting Standards Board (</w:t>
      </w:r>
      <w:r>
        <w:rPr>
          <w:rFonts w:ascii="Times New Roman" w:cs="Times New Roman" w:eastAsia="Times New Roman" w:hAnsi="Times New Roman"/>
          <w:sz w:val="18"/>
          <w:szCs w:val="18"/>
          <w:i w:val="1"/>
          <w:iCs w:val="1"/>
          <w:color w:val="auto"/>
        </w:rPr>
        <w:t>FASB</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Vistagen and its subsidiaries. All intercompany accounts and transactions have been eliminated in consolidation.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incurred significant losses and negative cash flows from operations since inception. As of June 30, 2025, we had an accumulated deficit of $422.7 million and cash used in operations for the three months ended June 30, 2025 was $18.8 million. We expect that our operating losses and negative cash flows will continue for the foreseeable future as we continue to develop and, if approved, commercialize our product candidates.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we had cash, cash equivalents, and marketable securities of $63.2 million. As of August 7, 2025, the issuance date of the condensed consolidated financial statements as of and for the three months ended June 30, 2025, there is uncertainty about whether our combined cash, cash equivalents, and marketable securities will be sufficient to fund operations beyond twelve months from the issuance date of these condensed consolidated financial statements and therefore we concluded that substantial doubt exists about the our ability to continue as a going concern.</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realization of assets and satisfaction of liabilities in the ordinary course of business. The condensed consolidated financial statements do not include any adjustments relating to the recoverability and classification of recorded asset amounts or the amounts and classification of liabilities that might result from the outcome of the uncertainties described above.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Estimates made in the accompanying condensed consolidated financial statements include, but are not limited to, those relating to stock-based compensation, revenue recognition, research and development expense, determination of right-of-use assets under lease transactions and related lease obligations, and the assumptions used to value warrants. Although these estimates are based on our knowledge of current events, historical experiences, actions we may undertake in the future and on various other assumptions we believe are reasonable, actual results may materially differ from these estimates and assumptions.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measure cash equivalents and available-for-sale debt securities at fair value. Fair value is defined as an exit price, representing the amount that would be received to sell an asset or paid to transfer a liability in an orderly transaction between market participants. A framework is used for measuring fair value utilizing a three-tier hierarchy that prioritizes the inputs to valuation techniques used to measure fair value.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1—Unadjusted quoted prices in active markets that are accessible at the measurement date for identical, unrestricted assets or liabilities.</w:t>
      </w:r>
    </w:p>
    <w:p>
      <w:pPr>
        <w:spacing w:after="0" w:line="25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2—Quoted prices for similar assets and liabilities in active markets, quoted prices in markets that are not active, or inputs which are observable, either directly or indirectly, for substantially the full term of the asset or liability.</w:t>
      </w:r>
    </w:p>
    <w:p>
      <w:pPr>
        <w:spacing w:after="0" w:line="18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3—Prices or valuation techniques that require inputs that are both significant to the fair value measurement and unobservable (i.e. supported by little or no market activity).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Money market funds are highly liquid investments and are classified as Level 1. The pricing information for these assets is readily available and can be independently validated as of the measurement date. Available-for sale debt securities are valued using observable inputs from similar assets, or from observable data in markets that are not active. These assets are classified as Level 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Marketable securities consist of U.S. treasury securities. These securities are classified as available-for sale, as the sale of such securities may be required prior to their maturity. Available-for-sale securities are recorded at fair value, with the related unrealized gains and losses included in accumulated other comprehensive income or loss and included as a separate component of stockholders' equity. Our marketable debt securities are classified as cash equivalents if the original maturity, from the date of purchase, is 90 days or less, and as marketable securities if the original maturity, from the date of purchase, is in excess of 90 days. Our cash equivalents are generally composed of U.S. treasury securities and money market funds. The amortized cost of available-for-sale securities reflects amortization of premiums and accretion of discounts to maturity. Premiums and discounts on debt securities are amortized into interest and other income, net. The Company classifies investments in marketable debt securities as current assets, regardless of the stated maturity date, which may be beyond one year from the current balance sheet date. Short-term classification reflects management's view that the entire portfolio is available, and the Company may use the proceeds from sale of these investments to fund current operations, as necessary.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significant updates not already disclosed in the Company’s audited consolidated financial statements for the years ended March 31, 2025, and 2024, to the recently issued accounting standards for the three months ended June 30, 2025.</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Accounting Pronouncements Not Yet Adopted</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w:t>
      </w:r>
      <w:r>
        <w:rPr>
          <w:rFonts w:ascii="Times New Roman" w:cs="Times New Roman" w:eastAsia="Times New Roman" w:hAnsi="Times New Roman"/>
          <w:sz w:val="18"/>
          <w:szCs w:val="18"/>
          <w:i w:val="1"/>
          <w:iCs w:val="1"/>
          <w:color w:val="auto"/>
        </w:rPr>
        <w:t>Topic 740</w:t>
      </w:r>
      <w:r>
        <w:rPr>
          <w:rFonts w:ascii="Times New Roman" w:cs="Times New Roman" w:eastAsia="Times New Roman" w:hAnsi="Times New Roman"/>
          <w:sz w:val="18"/>
          <w:szCs w:val="18"/>
          <w:color w:val="auto"/>
        </w:rPr>
        <w:t>): Improvements to Income Tax Disclosures. ASU 2023-09 requires disaggregated information about a reporting entity’s effective tax rate reconciliation as well as information on income taxes paid. ASU 2023-09 is effective for public entities with annual periods beginning after December 15, 2024, with early adoption permitted. We are currently evaluating the impact of this guidance on our financial statements.</w:t>
      </w:r>
    </w:p>
    <w:p>
      <w:pPr>
        <w:spacing w:after="0" w:line="1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 Disaggregation of Income Statement Expenses (</w:t>
      </w:r>
      <w:r>
        <w:rPr>
          <w:rFonts w:ascii="Times New Roman" w:cs="Times New Roman" w:eastAsia="Times New Roman" w:hAnsi="Times New Roman"/>
          <w:sz w:val="18"/>
          <w:szCs w:val="18"/>
          <w:i w:val="1"/>
          <w:iCs w:val="1"/>
          <w:color w:val="auto"/>
        </w:rPr>
        <w:t>ASU 2024-03</w:t>
      </w:r>
      <w:r>
        <w:rPr>
          <w:rFonts w:ascii="Times New Roman" w:cs="Times New Roman" w:eastAsia="Times New Roman" w:hAnsi="Times New Roman"/>
          <w:sz w:val="18"/>
          <w:szCs w:val="18"/>
          <w:color w:val="auto"/>
        </w:rPr>
        <w:t>), which requires new disclosures to disaggregate prescribed natural expenses underlying any income statement caption. ASU 2024-03 is effective for annual periods in fiscal years beginning after December 15, 2026, and interim periods thereafter. Early adoption is permitted. ASU 2024-03 applies on a prospective basis for periods beginning after the effective date. However, retrospective application to any or all prior periods presented is permitted. We are currently evaluating the impact of this guidance on our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our cash, cash equivalents and marketable securities at fair value as of June 30, 2025 and March 31, 2025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23"/>
        </w:trPr>
        <w:tc>
          <w:tcPr>
            <w:tcW w:w="40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money market funds</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48,985</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48,985</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1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14,195</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14,195</w:t>
            </w:r>
          </w:p>
        </w:tc>
      </w:tr>
      <w:tr>
        <w:trPr>
          <w:trHeight w:val="223"/>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48,985</w:t>
            </w:r>
          </w:p>
        </w:tc>
        <w:tc>
          <w:tcPr>
            <w:tcW w:w="1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14,195</w:t>
            </w:r>
          </w:p>
        </w:tc>
        <w:tc>
          <w:tcPr>
            <w:tcW w:w="16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63,180</w:t>
            </w:r>
          </w:p>
        </w:tc>
      </w:tr>
      <w:tr>
        <w:trPr>
          <w:trHeight w:val="20"/>
        </w:trPr>
        <w:tc>
          <w:tcPr>
            <w:tcW w:w="4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23"/>
        </w:trPr>
        <w:tc>
          <w:tcPr>
            <w:tcW w:w="40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money market funds</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67,131</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67,131</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1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13,351</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13,351</w:t>
            </w:r>
          </w:p>
        </w:tc>
      </w:tr>
      <w:tr>
        <w:trPr>
          <w:trHeight w:val="223"/>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67,131</w:t>
            </w:r>
          </w:p>
        </w:tc>
        <w:tc>
          <w:tcPr>
            <w:tcW w:w="1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13,351</w:t>
            </w:r>
          </w:p>
        </w:tc>
        <w:tc>
          <w:tcPr>
            <w:tcW w:w="16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80,482</w:t>
            </w:r>
          </w:p>
        </w:tc>
      </w:tr>
      <w:tr>
        <w:trPr>
          <w:trHeight w:val="20"/>
        </w:trPr>
        <w:tc>
          <w:tcPr>
            <w:tcW w:w="4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amounts of our prepaid expenses and other current assets, accounts payable, and accrued expenses, approximate fair value due to their short maturities. We had no financial liabilities measured at fair value on a recurring basis at June 30, 2025 or March 31, 2025. There were no transfers between Levels 1, 2 or 3 for any of the periods presented.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record any impairment charges related to our marketable debt securities during the three months ended June 30, 2025 or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summarizes our marketable securities as of June 30, 2025 and March 31, 2025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4"/>
        </w:trPr>
        <w:tc>
          <w:tcPr>
            <w:tcW w:w="1280" w:type="dxa"/>
            <w:vAlign w:val="bottom"/>
            <w:tcBorders>
              <w:top w:val="single" w:sz="8" w:color="0000FF"/>
            </w:tcBorders>
          </w:tcPr>
          <w:p>
            <w:pPr>
              <w:spacing w:after="0"/>
              <w:rPr>
                <w:sz w:val="24"/>
                <w:szCs w:val="24"/>
                <w:color w:val="auto"/>
              </w:rPr>
            </w:pPr>
          </w:p>
        </w:tc>
        <w:tc>
          <w:tcPr>
            <w:tcW w:w="9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700" w:type="dxa"/>
            <w:vAlign w:val="bottom"/>
            <w:vMerge w:val="restart"/>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Maturity (in years)</w:t>
            </w:r>
          </w:p>
        </w:tc>
        <w:tc>
          <w:tcPr>
            <w:tcW w:w="17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160" w:type="dxa"/>
            <w:vAlign w:val="bottom"/>
          </w:tcPr>
          <w:p>
            <w:pPr>
              <w:jc w:val="center"/>
              <w:ind w:left="130"/>
              <w:spacing w:after="0" w:line="174"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jc w:val="center"/>
              <w:ind w:left="170"/>
              <w:spacing w:after="0" w:line="17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700" w:type="dxa"/>
            <w:vAlign w:val="bottom"/>
            <w:vMerge w:val="continue"/>
          </w:tcPr>
          <w:p>
            <w:pPr>
              <w:spacing w:after="0"/>
              <w:rPr>
                <w:sz w:val="20"/>
                <w:szCs w:val="20"/>
                <w:color w:val="auto"/>
              </w:rPr>
            </w:pPr>
          </w:p>
        </w:tc>
        <w:tc>
          <w:tcPr>
            <w:tcW w:w="1700" w:type="dxa"/>
            <w:vAlign w:val="bottom"/>
            <w:gridSpan w:val="4"/>
            <w:vMerge w:val="continue"/>
          </w:tcPr>
          <w:p>
            <w:pPr>
              <w:spacing w:after="0"/>
              <w:rPr>
                <w:sz w:val="20"/>
                <w:szCs w:val="20"/>
                <w:color w:val="auto"/>
              </w:rPr>
            </w:pPr>
          </w:p>
        </w:tc>
        <w:tc>
          <w:tcPr>
            <w:tcW w:w="11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notes</w:t>
            </w:r>
          </w:p>
        </w:tc>
        <w:tc>
          <w:tcPr>
            <w:tcW w:w="2700" w:type="dxa"/>
            <w:vAlign w:val="bottom"/>
            <w:tcBorders>
              <w:top w:val="single" w:sz="8" w:color="CCEEFF"/>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Less than 1</w:t>
            </w: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14,195</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7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14,194</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00" w:type="dxa"/>
            <w:vAlign w:val="bottom"/>
            <w:vMerge w:val="restart"/>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Maturity (in years)</w:t>
            </w:r>
          </w:p>
        </w:tc>
        <w:tc>
          <w:tcPr>
            <w:tcW w:w="17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160" w:type="dxa"/>
            <w:vAlign w:val="bottom"/>
          </w:tcPr>
          <w:p>
            <w:pPr>
              <w:jc w:val="center"/>
              <w:ind w:left="1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jc w:val="center"/>
              <w:ind w:left="1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700" w:type="dxa"/>
            <w:vAlign w:val="bottom"/>
            <w:vMerge w:val="continue"/>
          </w:tcPr>
          <w:p>
            <w:pPr>
              <w:spacing w:after="0"/>
              <w:rPr>
                <w:sz w:val="21"/>
                <w:szCs w:val="21"/>
                <w:color w:val="auto"/>
              </w:rPr>
            </w:pPr>
          </w:p>
        </w:tc>
        <w:tc>
          <w:tcPr>
            <w:tcW w:w="1700" w:type="dxa"/>
            <w:vAlign w:val="bottom"/>
            <w:gridSpan w:val="4"/>
            <w:vMerge w:val="continue"/>
          </w:tcPr>
          <w:p>
            <w:pPr>
              <w:spacing w:after="0"/>
              <w:rPr>
                <w:sz w:val="21"/>
                <w:szCs w:val="21"/>
                <w:color w:val="auto"/>
              </w:rPr>
            </w:pPr>
          </w:p>
        </w:tc>
        <w:tc>
          <w:tcPr>
            <w:tcW w:w="11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notes</w:t>
            </w:r>
          </w:p>
        </w:tc>
        <w:tc>
          <w:tcPr>
            <w:tcW w:w="2700" w:type="dxa"/>
            <w:vAlign w:val="bottom"/>
            <w:tcBorders>
              <w:top w:val="single" w:sz="8" w:color="CCEEFF"/>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Less than 1</w:t>
            </w: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13,346</w:t>
            </w: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7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Notes Payable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2025, we executed a 6.54% promissory note in the principal amount of $1.0 million in connection with certain insurance policy premiums. The note is payable in monthly installments of approximately $0.1 million, including principal and interest, through April 2026. As of June 30, 2025, the outstanding balance related to the premium financing was $0.9 million. Interest accrued related to the premium financing arrangement was immaterial as of June 30, 2025.</w:t>
      </w:r>
    </w:p>
    <w:p>
      <w:pPr>
        <w:spacing w:after="0" w:line="135" w:lineRule="exact"/>
        <w:rPr>
          <w:sz w:val="20"/>
          <w:szCs w:val="20"/>
          <w:color w:val="auto"/>
        </w:rPr>
      </w:pPr>
    </w:p>
    <w:p>
      <w:pPr>
        <w:jc w:val="both"/>
        <w:ind w:right="10000" w:firstLine="8"/>
        <w:spacing w:after="0" w:line="461"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 Common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October 2023 Public Offering</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 2023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completed an underwritten public offering (the </w:t>
      </w:r>
      <w:r>
        <w:rPr>
          <w:rFonts w:ascii="Times New Roman" w:cs="Times New Roman" w:eastAsia="Times New Roman" w:hAnsi="Times New Roman"/>
          <w:sz w:val="18"/>
          <w:szCs w:val="18"/>
          <w:i w:val="1"/>
          <w:iCs w:val="1"/>
          <w:color w:val="auto"/>
        </w:rPr>
        <w:t>October 2023 Public Offering</w:t>
      </w:r>
      <w:r>
        <w:rPr>
          <w:rFonts w:ascii="Times New Roman" w:cs="Times New Roman" w:eastAsia="Times New Roman" w:hAnsi="Times New Roman"/>
          <w:sz w:val="18"/>
          <w:szCs w:val="18"/>
          <w:color w:val="auto"/>
        </w:rPr>
        <w:t xml:space="preserve">), whereby we offered and sold, for gross proceeds of approximately $100 million, a total of 15,010,810 shares of our common stock and a total of 3,577,240 pre-funded warrants to purchase up to 3,577,240 shares of common stock (the </w:t>
      </w:r>
      <w:r>
        <w:rPr>
          <w:rFonts w:ascii="Times New Roman" w:cs="Times New Roman" w:eastAsia="Times New Roman" w:hAnsi="Times New Roman"/>
          <w:sz w:val="18"/>
          <w:szCs w:val="18"/>
          <w:i w:val="1"/>
          <w:iCs w:val="1"/>
          <w:color w:val="auto"/>
        </w:rPr>
        <w:t>Pre-Funded Warrants</w:t>
      </w:r>
      <w:r>
        <w:rPr>
          <w:rFonts w:ascii="Times New Roman" w:cs="Times New Roman" w:eastAsia="Times New Roman" w:hAnsi="Times New Roman"/>
          <w:sz w:val="18"/>
          <w:szCs w:val="18"/>
          <w:color w:val="auto"/>
        </w:rPr>
        <w:t xml:space="preserve">). Each share of common stock and each Pre-Funded Warrant was issued together with a ratably allocated portion of warrants to purchase up to 9,294,022 shares of common stock with an exercise price of $5.38 per share (the </w:t>
      </w:r>
      <w:r>
        <w:rPr>
          <w:rFonts w:ascii="Times New Roman" w:cs="Times New Roman" w:eastAsia="Times New Roman" w:hAnsi="Times New Roman"/>
          <w:sz w:val="18"/>
          <w:szCs w:val="18"/>
          <w:i w:val="1"/>
          <w:iCs w:val="1"/>
          <w:color w:val="auto"/>
        </w:rPr>
        <w:t>T1 Warrants</w:t>
      </w:r>
      <w:r>
        <w:rPr>
          <w:rFonts w:ascii="Times New Roman" w:cs="Times New Roman" w:eastAsia="Times New Roman" w:hAnsi="Times New Roman"/>
          <w:sz w:val="18"/>
          <w:szCs w:val="18"/>
          <w:color w:val="auto"/>
        </w:rPr>
        <w:t xml:space="preserve">) and warrants to purchase 11,265,086 shares of common stock with an exercise price of $8.877 per share (the </w:t>
      </w:r>
      <w:r>
        <w:rPr>
          <w:rFonts w:ascii="Times New Roman" w:cs="Times New Roman" w:eastAsia="Times New Roman" w:hAnsi="Times New Roman"/>
          <w:sz w:val="18"/>
          <w:szCs w:val="18"/>
          <w:i w:val="1"/>
          <w:iCs w:val="1"/>
          <w:color w:val="auto"/>
        </w:rPr>
        <w:t>T2 Warrants</w:t>
      </w:r>
      <w:r>
        <w:rPr>
          <w:rFonts w:ascii="Times New Roman" w:cs="Times New Roman" w:eastAsia="Times New Roman" w:hAnsi="Times New Roman"/>
          <w:sz w:val="18"/>
          <w:szCs w:val="18"/>
          <w:color w:val="auto"/>
        </w:rPr>
        <w:t>). The net proceeds to us from the October 2023 Public Offering were approximately $93.5 million, after deducting expenses related to the offering, including commissions, legal expenses and other offering costs.</w:t>
      </w:r>
    </w:p>
    <w:p>
      <w:pPr>
        <w:spacing w:after="0" w:line="1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Pre-Funded Warrants, T1 Warrants and T2 Warrants (collectively, the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are fully exercisable, only at the option of the holder. Holders may also exercise the T1 Warrants and T2 Warrants for Pre-Funded Warrants at their option. We may not effect the exercise of any Warrants, and a holder will not be entitled to exercise any portion of any of the Warrants, which, upon giving effect to such exercise, would cause the aggregate number of shares of common stock beneficially owned by the holder of such Warrant (together with its affiliates) to exceed 9.99% of the number of shares of common stock outstanding immediately after giving effect to the exercise. However, any holder may increase or decrease such percentage to any other percentage (not to exceed 19.99% if exceeding such percentage would result in a change of control under Nasdaq Listing Rule 5636(b) or any successor rule) upon at least 61 days’ prior notice from the holder to us subject to the terms of the respective warrant agreement.</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evaluated the terms of the Warrants issued and determined that they should be classified as equity instruments within additional paid-in capital. The Warrants are equity classified because they (i) are freestanding financial instruments that are legally detachable and separately exercisable from the other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Warrants do not provide any guarantee of value or return.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 Market Sale Agreement</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 May 2021, we entered into an Open Market Sale Agreement (the </w:t>
      </w:r>
      <w:r>
        <w:rPr>
          <w:rFonts w:ascii="Times New Roman" w:cs="Times New Roman" w:eastAsia="Times New Roman" w:hAnsi="Times New Roman"/>
          <w:sz w:val="18"/>
          <w:szCs w:val="18"/>
          <w:i w:val="1"/>
          <w:iCs w:val="1"/>
          <w:color w:val="auto"/>
        </w:rPr>
        <w:t>Sales Agreement</w:t>
      </w:r>
      <w:r>
        <w:rPr>
          <w:rFonts w:ascii="Times New Roman" w:cs="Times New Roman" w:eastAsia="Times New Roman" w:hAnsi="Times New Roman"/>
          <w:sz w:val="18"/>
          <w:szCs w:val="18"/>
          <w:color w:val="auto"/>
        </w:rPr>
        <w:t>) with Jefferies LLC (</w:t>
      </w:r>
      <w:r>
        <w:rPr>
          <w:rFonts w:ascii="Times New Roman" w:cs="Times New Roman" w:eastAsia="Times New Roman" w:hAnsi="Times New Roman"/>
          <w:sz w:val="18"/>
          <w:szCs w:val="18"/>
          <w:i w:val="1"/>
          <w:iCs w:val="1"/>
          <w:color w:val="auto"/>
        </w:rPr>
        <w:t>Jefferies</w:t>
      </w:r>
      <w:r>
        <w:rPr>
          <w:rFonts w:ascii="Times New Roman" w:cs="Times New Roman" w:eastAsia="Times New Roman" w:hAnsi="Times New Roman"/>
          <w:sz w:val="18"/>
          <w:szCs w:val="18"/>
          <w:color w:val="auto"/>
        </w:rPr>
        <w:t>) as sales agent, with respect to an at-the-market offering program under which we were permitted, at our option, to offer and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 from time to time, shares of our common stock having an aggregate offering price of up to $75.0 million. In February 2024, the aggregate offering price available under the Sales Agreement was increased to up to $100 million, and in June 2025, the aggregate offering price available under the Sales Agreement was increased to up to $175 million. As of June 30, 2025, approximately $171.5 million of common stock remained available for sale under the Sales Agreement.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sold no shares under the Sales Agreement during the three months ended June 30, 2024. During the three months ended June 30, 2025, we sold 190,067 shares of our common stock in at-the-market transactions under the Sales Agreement, resulting in net cash proceeds of approximately $0.4 million after sales agent commissions. We pay Jefferies a commission of up to three percent (3.0%) of the aggregate gross proceeds from any sales under the Sales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2025, the following common stock warrants were outstanding:</w:t>
      </w:r>
    </w:p>
    <w:p>
      <w:pPr>
        <w:spacing w:after="0" w:line="23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 Common Shares</w:t>
            </w:r>
          </w:p>
        </w:tc>
        <w:tc>
          <w:tcPr>
            <w:tcW w:w="3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38"/>
        </w:trPr>
        <w:tc>
          <w:tcPr>
            <w:tcW w:w="3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Underlying Warrants</w:t>
            </w:r>
          </w:p>
        </w:tc>
        <w:tc>
          <w:tcPr>
            <w:tcW w:w="3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7"/>
        </w:trPr>
        <w:tc>
          <w:tcPr>
            <w:tcW w:w="2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50"/>
        </w:trPr>
        <w:tc>
          <w:tcPr>
            <w:tcW w:w="2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12,352</w:t>
            </w:r>
          </w:p>
        </w:tc>
        <w:tc>
          <w:tcPr>
            <w:tcW w:w="100" w:type="dxa"/>
            <w:vAlign w:val="bottom"/>
            <w:shd w:val="clear" w:color="auto" w:fill="CCEEFF"/>
          </w:tcPr>
          <w:p>
            <w:pPr>
              <w:spacing w:after="0"/>
              <w:rPr>
                <w:sz w:val="21"/>
                <w:szCs w:val="21"/>
                <w:color w:val="auto"/>
              </w:rPr>
            </w:pP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$21.900</w:t>
            </w:r>
          </w:p>
        </w:tc>
        <w:tc>
          <w:tcPr>
            <w:tcW w:w="80" w:type="dxa"/>
            <w:vAlign w:val="bottom"/>
            <w:shd w:val="clear" w:color="auto" w:fill="CCEEFF"/>
          </w:tcPr>
          <w:p>
            <w:pPr>
              <w:spacing w:after="0"/>
              <w:rPr>
                <w:sz w:val="21"/>
                <w:szCs w:val="21"/>
                <w:color w:val="auto"/>
              </w:rPr>
            </w:pP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7/25/2025</w:t>
            </w:r>
          </w:p>
        </w:tc>
      </w:tr>
      <w:tr>
        <w:trPr>
          <w:trHeight w:val="250"/>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2,788,620</w:t>
            </w:r>
          </w:p>
        </w:tc>
        <w:tc>
          <w:tcPr>
            <w:tcW w:w="100" w:type="dxa"/>
            <w:vAlign w:val="bottom"/>
          </w:tcPr>
          <w:p>
            <w:pPr>
              <w:spacing w:after="0"/>
              <w:rPr>
                <w:sz w:val="21"/>
                <w:szCs w:val="21"/>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$0.001</w:t>
            </w:r>
          </w:p>
        </w:tc>
        <w:tc>
          <w:tcPr>
            <w:tcW w:w="80" w:type="dxa"/>
            <w:vAlign w:val="bottom"/>
          </w:tcPr>
          <w:p>
            <w:pPr>
              <w:spacing w:after="0"/>
              <w:rPr>
                <w:sz w:val="21"/>
                <w:szCs w:val="21"/>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63"/>
        </w:trPr>
        <w:tc>
          <w:tcPr>
            <w:tcW w:w="2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9,294,022</w:t>
            </w:r>
          </w:p>
        </w:tc>
        <w:tc>
          <w:tcPr>
            <w:tcW w:w="100" w:type="dxa"/>
            <w:vAlign w:val="bottom"/>
            <w:shd w:val="clear" w:color="auto" w:fill="CCEEFF"/>
          </w:tcPr>
          <w:p>
            <w:pPr>
              <w:spacing w:after="0"/>
              <w:rPr>
                <w:sz w:val="22"/>
                <w:szCs w:val="22"/>
                <w:color w:val="auto"/>
              </w:rPr>
            </w:pP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$5.380</w:t>
            </w:r>
          </w:p>
        </w:tc>
        <w:tc>
          <w:tcPr>
            <w:tcW w:w="80" w:type="dxa"/>
            <w:vAlign w:val="bottom"/>
            <w:shd w:val="clear" w:color="auto" w:fill="CCEEFF"/>
          </w:tcPr>
          <w:p>
            <w:pPr>
              <w:spacing w:after="0"/>
              <w:rPr>
                <w:sz w:val="22"/>
                <w:szCs w:val="22"/>
                <w:color w:val="auto"/>
              </w:rPr>
            </w:pP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w:t>
            </w:r>
          </w:p>
        </w:tc>
      </w:tr>
      <w:tr>
        <w:trPr>
          <w:trHeight w:val="243"/>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11,265,086</w:t>
            </w:r>
          </w:p>
        </w:tc>
        <w:tc>
          <w:tcPr>
            <w:tcW w:w="100" w:type="dxa"/>
            <w:vAlign w:val="bottom"/>
          </w:tcPr>
          <w:p>
            <w:pPr>
              <w:spacing w:after="0"/>
              <w:rPr>
                <w:sz w:val="21"/>
                <w:szCs w:val="21"/>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$8.877</w:t>
            </w:r>
          </w:p>
        </w:tc>
        <w:tc>
          <w:tcPr>
            <w:tcW w:w="80" w:type="dxa"/>
            <w:vAlign w:val="bottom"/>
          </w:tcPr>
          <w:p>
            <w:pPr>
              <w:spacing w:after="0"/>
              <w:rPr>
                <w:sz w:val="21"/>
                <w:szCs w:val="21"/>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10/4/2028</w:t>
            </w:r>
          </w:p>
        </w:tc>
      </w:tr>
    </w:tbl>
    <w:p>
      <w:pPr>
        <w:spacing w:after="0" w:line="261" w:lineRule="exact"/>
        <w:rPr>
          <w:sz w:val="20"/>
          <w:szCs w:val="20"/>
          <w:color w:val="auto"/>
        </w:rPr>
      </w:pPr>
    </w:p>
    <w:p>
      <w:pPr>
        <w:jc w:val="both"/>
        <w:ind w:left="980" w:hanging="324"/>
        <w:spacing w:after="0" w:line="281" w:lineRule="auto"/>
        <w:tabs>
          <w:tab w:leader="none" w:pos="97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warrants will expire 60 days after the later of (i) the date on which the Company first publicly discloses, whether by press release or Current Report on Form 8-K, the top-line results of its PALISADE-3 Phase 3 clinical trial and (ii) the date on which the Company first publicly discloses, whether by press release or Current Report on Form 8-K, the top-line results of its PALISADE-4 Phase 3 clinical trial.</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weighted average exercise price of all outstanding warrants at June 30, 2025 is $6.43 per share. No outstanding warrant is subject to any down-round anti-dilution protection feature. All outstanding warrants are exercisable by the holders only by payment in cash of the stated exercise price per share, except the Pre-Funded Warrants and the T2 Warrants issued in connection with the October 2023 Public Offering, which may be exercised through a cashless exercise, via exchange of a portion of warrants to cover the exercise price. In October 2024, Pre-Funded Warrants to purchase 788,620 shares of common stock were exercised on a cashless basis, resulting in the issuance of 788,359 shares of common stock. In December 2024, 33,334 warrants to purchase common stock, with an exercise price of $15.00 per share, expired.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warrant exercises during the three months ended June 30,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stock option activity for the period ended June 30, 2025 is as follows (in thousands, except share and per share data and years):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140" w:type="dxa"/>
            <w:vAlign w:val="bottom"/>
          </w:tcPr>
          <w:p>
            <w:pPr>
              <w:spacing w:after="0"/>
              <w:rPr>
                <w:sz w:val="18"/>
                <w:szCs w:val="18"/>
                <w:color w:val="auto"/>
              </w:rPr>
            </w:pPr>
          </w:p>
        </w:tc>
        <w:tc>
          <w:tcPr>
            <w:tcW w:w="10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84"/>
        </w:trPr>
        <w:tc>
          <w:tcPr>
            <w:tcW w:w="5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860" w:type="dxa"/>
            <w:vAlign w:val="bottom"/>
            <w:gridSpan w:val="2"/>
          </w:tcPr>
          <w:p>
            <w:pPr>
              <w:jc w:val="center"/>
              <w:ind w:right="1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160" w:type="dxa"/>
            <w:vAlign w:val="bottom"/>
          </w:tcPr>
          <w:p>
            <w:pPr>
              <w:spacing w:after="0"/>
              <w:rPr>
                <w:sz w:val="15"/>
                <w:szCs w:val="15"/>
                <w:color w:val="auto"/>
              </w:rPr>
            </w:pPr>
          </w:p>
        </w:tc>
        <w:tc>
          <w:tcPr>
            <w:tcW w:w="15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186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40" w:type="dxa"/>
            <w:vAlign w:val="bottom"/>
          </w:tcPr>
          <w:p>
            <w:pPr>
              <w:spacing w:after="0"/>
              <w:rPr>
                <w:sz w:val="15"/>
                <w:szCs w:val="15"/>
                <w:color w:val="auto"/>
              </w:rPr>
            </w:pPr>
          </w:p>
        </w:tc>
        <w:tc>
          <w:tcPr>
            <w:tcW w:w="102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29"/>
        </w:trPr>
        <w:tc>
          <w:tcPr>
            <w:tcW w:w="516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40" w:type="dxa"/>
            <w:vAlign w:val="bottom"/>
          </w:tcPr>
          <w:p>
            <w:pPr>
              <w:spacing w:after="0"/>
              <w:rPr>
                <w:sz w:val="19"/>
                <w:szCs w:val="19"/>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3,239,642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1,520,377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4,725,164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June 30, 2025</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1,572,536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expected to vest as of June 30, 2025</w:t>
            </w:r>
          </w:p>
        </w:tc>
        <w:tc>
          <w:tcPr>
            <w:tcW w:w="1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4,725,164</w:t>
            </w:r>
          </w:p>
        </w:tc>
        <w:tc>
          <w:tcPr>
            <w:tcW w:w="2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7.63</w:t>
            </w:r>
          </w:p>
        </w:tc>
        <w:tc>
          <w:tcPr>
            <w:tcW w:w="14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stock options granted was estimated using the following assumptions: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43"/>
        </w:trPr>
        <w:tc>
          <w:tcPr>
            <w:tcW w:w="4780" w:type="dxa"/>
            <w:vAlign w:val="bottom"/>
            <w:tcBorders>
              <w:bottom w:val="single" w:sz="8" w:color="CCEEFF"/>
            </w:tcBorders>
          </w:tcPr>
          <w:p>
            <w:pPr>
              <w:spacing w:after="0"/>
              <w:rPr>
                <w:sz w:val="21"/>
                <w:szCs w:val="21"/>
                <w:color w:val="auto"/>
              </w:rPr>
            </w:pPr>
          </w:p>
        </w:tc>
        <w:tc>
          <w:tcPr>
            <w:tcW w:w="2220" w:type="dxa"/>
            <w:vAlign w:val="bottom"/>
            <w:tcBorders>
              <w:bottom w:val="single" w:sz="8" w:color="auto"/>
            </w:tcBorders>
            <w:gridSpan w:val="2"/>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1"/>
                <w:szCs w:val="21"/>
                <w:color w:val="auto"/>
              </w:rPr>
            </w:pPr>
          </w:p>
        </w:tc>
        <w:tc>
          <w:tcPr>
            <w:tcW w:w="2180" w:type="dxa"/>
            <w:vAlign w:val="bottom"/>
            <w:tcBorders>
              <w:bottom w:val="single" w:sz="8" w:color="auto"/>
            </w:tcBorders>
            <w:gridSpan w:val="2"/>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9"/>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Risk-free interest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- 4.14%</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- 4.43%</w:t>
            </w:r>
          </w:p>
        </w:tc>
      </w:tr>
      <w:tr>
        <w:trPr>
          <w:trHeight w:val="230"/>
        </w:trPr>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Expected term (years)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- 6.40</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- 6.14</w:t>
            </w:r>
          </w:p>
        </w:tc>
      </w:tr>
      <w:tr>
        <w:trPr>
          <w:trHeight w:val="229"/>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22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155.80% - 164.70%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163.48%</w:t>
            </w:r>
          </w:p>
        </w:tc>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- 176.22%</w:t>
            </w:r>
          </w:p>
        </w:tc>
      </w:tr>
      <w:tr>
        <w:trPr>
          <w:trHeight w:val="234"/>
        </w:trPr>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Dividend yield</w:t>
            </w:r>
          </w:p>
        </w:tc>
        <w:tc>
          <w:tcPr>
            <w:tcW w:w="2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2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recognized for all equity awards has been included in the consolidated statements of operations and comprehensive loss as follows (in thousands):</w:t>
      </w:r>
    </w:p>
    <w:p>
      <w:pPr>
        <w:spacing w:after="0" w:line="185" w:lineRule="exact"/>
        <w:rPr>
          <w:sz w:val="20"/>
          <w:szCs w:val="20"/>
          <w:color w:val="auto"/>
        </w:rPr>
      </w:pPr>
    </w:p>
    <w:tbl>
      <w:tblPr>
        <w:tblLayout w:type="fixed"/>
        <w:tblInd w:w="1040" w:type="dxa"/>
        <w:tblCellMar>
          <w:top w:w="0" w:type="dxa"/>
          <w:left w:w="0" w:type="dxa"/>
          <w:bottom w:w="0" w:type="dxa"/>
          <w:right w:w="0" w:type="dxa"/>
        </w:tblCellMar>
      </w:tblPr>
      <w:tr>
        <w:trPr>
          <w:trHeight w:val="245"/>
        </w:trPr>
        <w:tc>
          <w:tcPr>
            <w:tcW w:w="6300" w:type="dxa"/>
            <w:vAlign w:val="bottom"/>
          </w:tcPr>
          <w:p>
            <w:pPr>
              <w:spacing w:after="0"/>
              <w:rPr>
                <w:sz w:val="21"/>
                <w:szCs w:val="21"/>
                <w:color w:val="auto"/>
              </w:rPr>
            </w:pPr>
          </w:p>
        </w:tc>
        <w:tc>
          <w:tcPr>
            <w:tcW w:w="2880" w:type="dxa"/>
            <w:vAlign w:val="bottom"/>
            <w:tcBorders>
              <w:bottom w:val="single" w:sz="8" w:color="auto"/>
            </w:tcBorders>
            <w:gridSpan w:val="5"/>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50"/>
        </w:trPr>
        <w:tc>
          <w:tcPr>
            <w:tcW w:w="63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50"/>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9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82"/>
        </w:trPr>
        <w:tc>
          <w:tcPr>
            <w:tcW w:w="6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for the three months ended June 30, 2025 and 2024 was $1.87 and $3.55 per share, respectively. For the three months ended June 30, 2025 and 2024, the total fair value of options vested was $0.8 million and $1.0 million, respectively. No options were exercised during the three months ended June 30, 2025 and 2024. As of June 30, 2025, total compensation cost not yet recognized related to unvested stock options was $8.3 million, which is expected to be recognized over a weighted-average period of 2.2 years.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Net Loss per Common Share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by the weighted average number of shares of common stock outstanding for the period, without consideration for common stock equivalents. The Pre-Funded Warrants associated with the October 2023 Public Offering (see Note 5 above) are considered outstanding shares in the basic earnings per share calculation given their nominal exercise price. Dilutive common stock equivalents for the periods presented include warrants for the purchase of common stock and common stock options outstanding under the Company’s equity compensation plans. For all periods presented, there is no difference in the number of shares used to calculate basic and diluted shares outstanding due to the Company’s net loss position.</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potentially dilutive securities that have been excluded from the calculation of diluted net loss per share because their inclusion would be anti-dilutive: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0" w:right="440"/>
        <w:spacing w:after="0" w:line="281" w:lineRule="auto"/>
        <w:rPr>
          <w:sz w:val="20"/>
          <w:szCs w:val="20"/>
          <w:color w:val="auto"/>
        </w:rPr>
      </w:pPr>
      <w:r>
        <w:rPr>
          <w:rFonts w:ascii="Times New Roman" w:cs="Times New Roman" w:eastAsia="Times New Roman" w:hAnsi="Times New Roman"/>
          <w:sz w:val="18"/>
          <w:szCs w:val="18"/>
          <w:color w:val="auto"/>
        </w:rPr>
        <w:t>Outstanding options under the Company's Amended and Restated 2016 (formerly 2008) Stock Incentive Plan and Amended and Restated 2019 Omnibus Equity Incentive Plan,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-312420</wp:posOffset>
            </wp:positionV>
            <wp:extent cx="6660515"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60515" cy="308610"/>
                    </a:xfrm>
                    <a:prstGeom prst="rect">
                      <a:avLst/>
                    </a:prstGeom>
                    <a:noFill/>
                  </pic:spPr>
                </pic:pic>
              </a:graphicData>
            </a:graphic>
          </wp:anchor>
        </w:drawing>
      </w:r>
    </w:p>
    <w:p>
      <w:pPr>
        <w:ind w:left="400"/>
        <w:spacing w:after="0"/>
        <w:rPr>
          <w:sz w:val="20"/>
          <w:szCs w:val="20"/>
          <w:color w:val="auto"/>
        </w:rPr>
      </w:pPr>
      <w:r>
        <w:rPr>
          <w:rFonts w:ascii="Times New Roman" w:cs="Times New Roman" w:eastAsia="Times New Roman" w:hAnsi="Times New Roman"/>
          <w:sz w:val="18"/>
          <w:szCs w:val="18"/>
          <w:color w:val="auto"/>
        </w:rPr>
        <w:t>Outstanding 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26035</wp:posOffset>
            </wp:positionV>
            <wp:extent cx="6660515"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60515" cy="18859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28575</wp:posOffset>
            </wp:positionV>
            <wp:extent cx="19462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46275" cy="8255"/>
                    </a:xfrm>
                    <a:prstGeom prst="rect">
                      <a:avLst/>
                    </a:prstGeom>
                    <a:noFill/>
                  </pic:spPr>
                </pic:pic>
              </a:graphicData>
            </a:graphic>
          </wp:anchor>
        </w:drawing>
      </w:r>
    </w:p>
    <w:p>
      <w:pPr>
        <w:spacing w:after="0" w:line="43"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83" w:lineRule="exact"/>
        <w:rPr>
          <w:sz w:val="20"/>
          <w:szCs w:val="20"/>
          <w:color w:val="auto"/>
        </w:rPr>
      </w:pPr>
    </w:p>
    <w:p>
      <w:pPr>
        <w:ind w:left="200"/>
        <w:spacing w:after="0"/>
        <w:tabs>
          <w:tab w:leader="none" w:pos="1760" w:val="left"/>
        </w:tabs>
        <w:rPr>
          <w:sz w:val="20"/>
          <w:szCs w:val="20"/>
          <w:color w:val="auto"/>
        </w:rPr>
      </w:pPr>
      <w:r>
        <w:rPr>
          <w:rFonts w:ascii="Times New Roman" w:cs="Times New Roman" w:eastAsia="Times New Roman" w:hAnsi="Times New Roman"/>
          <w:sz w:val="18"/>
          <w:szCs w:val="18"/>
          <w:color w:val="auto"/>
        </w:rPr>
        <w:t>4,725,164</w:t>
      </w:r>
      <w:r>
        <w:rPr>
          <w:sz w:val="20"/>
          <w:szCs w:val="20"/>
          <w:color w:val="auto"/>
        </w:rPr>
        <w:tab/>
      </w:r>
      <w:r>
        <w:rPr>
          <w:rFonts w:ascii="Times New Roman" w:cs="Times New Roman" w:eastAsia="Times New Roman" w:hAnsi="Times New Roman"/>
          <w:sz w:val="18"/>
          <w:szCs w:val="18"/>
          <w:color w:val="auto"/>
        </w:rPr>
        <w:t>2,879,525</w:t>
      </w:r>
    </w:p>
    <w:p>
      <w:pPr>
        <w:spacing w:after="0" w:line="50" w:lineRule="exact"/>
        <w:rPr>
          <w:sz w:val="20"/>
          <w:szCs w:val="20"/>
          <w:color w:val="auto"/>
        </w:rPr>
      </w:pPr>
    </w:p>
    <w:p>
      <w:pPr>
        <w:ind w:left="100"/>
        <w:spacing w:after="0"/>
        <w:tabs>
          <w:tab w:leader="none" w:pos="1660" w:val="left"/>
        </w:tabs>
        <w:rPr>
          <w:sz w:val="20"/>
          <w:szCs w:val="20"/>
          <w:color w:val="auto"/>
        </w:rPr>
      </w:pPr>
      <w:r>
        <w:rPr>
          <w:rFonts w:ascii="Times New Roman" w:cs="Times New Roman" w:eastAsia="Times New Roman" w:hAnsi="Times New Roman"/>
          <w:sz w:val="18"/>
          <w:szCs w:val="18"/>
          <w:color w:val="auto"/>
        </w:rPr>
        <w:t>20,571,460</w:t>
      </w:r>
      <w:r>
        <w:rPr>
          <w:sz w:val="20"/>
          <w:szCs w:val="20"/>
          <w:color w:val="auto"/>
        </w:rPr>
        <w:tab/>
      </w:r>
      <w:r>
        <w:rPr>
          <w:rFonts w:ascii="Times New Roman" w:cs="Times New Roman" w:eastAsia="Times New Roman" w:hAnsi="Times New Roman"/>
          <w:sz w:val="18"/>
          <w:szCs w:val="18"/>
          <w:color w:val="auto"/>
        </w:rPr>
        <w:t>20,604,794</w:t>
      </w:r>
    </w:p>
    <w:p>
      <w:pPr>
        <w:spacing w:after="0" w:line="63" w:lineRule="exact"/>
        <w:rPr>
          <w:sz w:val="20"/>
          <w:szCs w:val="20"/>
          <w:color w:val="auto"/>
        </w:rPr>
      </w:pPr>
    </w:p>
    <w:p>
      <w:pPr>
        <w:ind w:left="100"/>
        <w:spacing w:after="0"/>
        <w:tabs>
          <w:tab w:leader="none" w:pos="1660" w:val="left"/>
        </w:tabs>
        <w:rPr>
          <w:sz w:val="20"/>
          <w:szCs w:val="20"/>
          <w:color w:val="auto"/>
        </w:rPr>
      </w:pPr>
      <w:r>
        <w:rPr>
          <w:rFonts w:ascii="Times New Roman" w:cs="Times New Roman" w:eastAsia="Times New Roman" w:hAnsi="Times New Roman"/>
          <w:sz w:val="18"/>
          <w:szCs w:val="18"/>
          <w:color w:val="auto"/>
        </w:rPr>
        <w:t>25,296,624</w:t>
      </w:r>
      <w:r>
        <w:rPr>
          <w:sz w:val="20"/>
          <w:szCs w:val="20"/>
          <w:color w:val="auto"/>
        </w:rPr>
        <w:tab/>
      </w:r>
      <w:r>
        <w:rPr>
          <w:rFonts w:ascii="Times New Roman" w:cs="Times New Roman" w:eastAsia="Times New Roman" w:hAnsi="Times New Roman"/>
          <w:sz w:val="18"/>
          <w:szCs w:val="18"/>
          <w:color w:val="auto"/>
        </w:rPr>
        <w:t>23,484,319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51435</wp:posOffset>
            </wp:positionV>
            <wp:extent cx="19462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4627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7640" w:space="720"/>
            <w:col w:w="2880"/>
          </w:cols>
          <w:pgMar w:left="320" w:top="121" w:right="3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Sublicensing and Collaborative Agreements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contract assets and liabilities during the three months ended June 30, 2025. Contract acquisition costs are included as a component of other assets on our condensed consolidated balance sheets.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220" w:type="dxa"/>
            <w:vAlign w:val="bottom"/>
          </w:tcPr>
          <w:p>
            <w:pPr>
              <w:spacing w:after="0"/>
              <w:rPr>
                <w:sz w:val="17"/>
                <w:szCs w:val="17"/>
                <w:color w:val="auto"/>
              </w:rPr>
            </w:pPr>
          </w:p>
        </w:tc>
        <w:tc>
          <w:tcPr>
            <w:tcW w:w="13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200" w:type="dxa"/>
            <w:vAlign w:val="bottom"/>
          </w:tcPr>
          <w:p>
            <w:pPr>
              <w:spacing w:after="0"/>
              <w:rPr>
                <w:sz w:val="17"/>
                <w:szCs w:val="17"/>
                <w:color w:val="auto"/>
              </w:rPr>
            </w:pPr>
          </w:p>
        </w:tc>
        <w:tc>
          <w:tcPr>
            <w:tcW w:w="1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240" w:type="dxa"/>
            <w:vAlign w:val="bottom"/>
          </w:tcPr>
          <w:p>
            <w:pPr>
              <w:spacing w:after="0"/>
              <w:rPr>
                <w:sz w:val="17"/>
                <w:szCs w:val="17"/>
                <w:color w:val="auto"/>
              </w:rPr>
            </w:pP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22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0" w:type="dxa"/>
            <w:vAlign w:val="bottom"/>
          </w:tcPr>
          <w:p>
            <w:pPr>
              <w:spacing w:after="0"/>
              <w:rPr>
                <w:sz w:val="1"/>
                <w:szCs w:val="1"/>
                <w:color w:val="auto"/>
              </w:rPr>
            </w:pPr>
          </w:p>
        </w:tc>
      </w:tr>
      <w:tr>
        <w:trPr>
          <w:trHeight w:val="237"/>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Borders>
              <w:top w:val="single" w:sz="8" w:color="auto"/>
            </w:tcBorders>
            <w:shd w:val="clear" w:color="auto" w:fill="CCEEFF"/>
          </w:tcPr>
          <w:p>
            <w:pPr>
              <w:spacing w:after="0"/>
              <w:rPr>
                <w:sz w:val="20"/>
                <w:szCs w:val="20"/>
                <w:color w:val="auto"/>
              </w:rPr>
            </w:pPr>
          </w:p>
        </w:tc>
        <w:tc>
          <w:tcPr>
            <w:tcW w:w="16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6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AffaMed Agreement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June 2020, we entered into a license and collaboration agreement (the </w:t>
      </w:r>
      <w:r>
        <w:rPr>
          <w:rFonts w:ascii="Times New Roman" w:cs="Times New Roman" w:eastAsia="Times New Roman" w:hAnsi="Times New Roman"/>
          <w:sz w:val="18"/>
          <w:szCs w:val="18"/>
          <w:i w:val="1"/>
          <w:iCs w:val="1"/>
          <w:color w:val="auto"/>
        </w:rPr>
        <w:t>AffaMed Agreement</w:t>
      </w:r>
      <w:r>
        <w:rPr>
          <w:rFonts w:ascii="Times New Roman" w:cs="Times New Roman" w:eastAsia="Times New Roman" w:hAnsi="Times New Roman"/>
          <w:sz w:val="18"/>
          <w:szCs w:val="18"/>
          <w:color w:val="auto"/>
        </w:rPr>
        <w:t>) with EverInsight Therapeutics Inc., a company incorporated under the laws of the British Virgin Islands, now AffaMed Therapeutics, Inc. (</w:t>
      </w:r>
      <w:r>
        <w:rPr>
          <w:rFonts w:ascii="Times New Roman" w:cs="Times New Roman" w:eastAsia="Times New Roman" w:hAnsi="Times New Roman"/>
          <w:sz w:val="18"/>
          <w:szCs w:val="18"/>
          <w:i w:val="1"/>
          <w:iCs w:val="1"/>
          <w:color w:val="auto"/>
        </w:rPr>
        <w:t>AffaMed</w:t>
      </w:r>
      <w:r>
        <w:rPr>
          <w:rFonts w:ascii="Times New Roman" w:cs="Times New Roman" w:eastAsia="Times New Roman" w:hAnsi="Times New Roman"/>
          <w:sz w:val="18"/>
          <w:szCs w:val="18"/>
          <w:color w:val="auto"/>
        </w:rPr>
        <w:t>), pursuant to which we granted AffaMed an exclusive license to develop and commercialize fasedienol for social anxiety disorder (</w:t>
      </w:r>
      <w:r>
        <w:rPr>
          <w:rFonts w:ascii="Times New Roman" w:cs="Times New Roman" w:eastAsia="Times New Roman" w:hAnsi="Times New Roman"/>
          <w:sz w:val="18"/>
          <w:szCs w:val="18"/>
          <w:i w:val="1"/>
          <w:iCs w:val="1"/>
          <w:color w:val="auto"/>
        </w:rPr>
        <w:t>SAD</w:t>
      </w:r>
      <w:r>
        <w:rPr>
          <w:rFonts w:ascii="Times New Roman" w:cs="Times New Roman" w:eastAsia="Times New Roman" w:hAnsi="Times New Roman"/>
          <w:sz w:val="18"/>
          <w:szCs w:val="18"/>
          <w:color w:val="auto"/>
        </w:rPr>
        <w:t xml:space="preserve">) and potentially other anxiety-related disorders in Greater China, South Korea and Southeast Asia (which includes Indonesia, Malaysia, Philippines, Thailand and Vietnam) (collectively, </w:t>
      </w:r>
      <w:r>
        <w:rPr>
          <w:rFonts w:ascii="Times New Roman" w:cs="Times New Roman" w:eastAsia="Times New Roman" w:hAnsi="Times New Roman"/>
          <w:sz w:val="18"/>
          <w:szCs w:val="18"/>
          <w:i w:val="1"/>
          <w:iCs w:val="1"/>
          <w:color w:val="auto"/>
        </w:rPr>
        <w:t>the Territory</w:t>
      </w:r>
      <w:r>
        <w:rPr>
          <w:rFonts w:ascii="Times New Roman" w:cs="Times New Roman" w:eastAsia="Times New Roman" w:hAnsi="Times New Roman"/>
          <w:sz w:val="18"/>
          <w:szCs w:val="18"/>
          <w:color w:val="auto"/>
        </w:rPr>
        <w:t>). We retain exclusive development and commercialization rights for fasedienol in the U.S. and throughout the rest of the world outside the Territory.</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responsible for pursuing clinical development and regulatory submissions of fasedienol for acute treatment of anxiety in adults with SAD, and potentially other anxiety-related indications, in the United States on a ‘‘best efforts’’ basis, with no guarantee of success. If conducted, AffaMed may participate in a Phase 3 global clinical trial of fasedienol and would assume all direct costs and expenses of conducting such clinical trial in the Territory and a portion of the indirect costs of a global trial in which they participate. We will transfer all development data (nonclinical and clinical data) and our regulatory documentation related to fasedienol throughout the term as it is developed or generated or otherwise comes into our control. We will grant to AffaMed a Right of Reference to our regulatory documentation and our development data, but retain exclusive development and commercialization rights for fasedienol in the U.S. and throughout the rest of the world outside the Territory.</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AffaMed Agreement, AffaMed paid to us a non-refundable upfront license payment of $5.0 million in August 2020. Additionally, upon successful development and commercialization of fasedienol in the Territory, we are eligible to receive milestone payments of up to $172.0 million. Further, we are eligible to receive royalty payments on a country-by-country basis on net sales for the later of ten years or the expiration of market or regulatory exclusivity in the jurisdiction, except that payments will be reduced on a country-by-country basis in the event there is no market exclusivity in the period. Royalty payments may also be reduced if there is a generic competitive product in the Territory in the period.</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determined that we have one combined performance obligation for the license to develop and commercialize fasedienol in the Territory and related development and regulatory services. In addition, AffaMed has an option that, if exercised by AffaMed, could create manufacturing obligations for us during development upon exercise. This option for manufacturing services was evaluated and determined not to include a material right.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and commercialization milestones were not considered probable at inception and therefore, were excluded from the initial transaction price.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royalties were excluded from the initial transaction price because they relate to a license of intellectual property and are subject to a royalty constraint.</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revenue as the combined performance obligation is satisfied over time using an input method. Significant management judgment is required to determine the level of effort attributable to the performance obligation included in the AffaMed Agreement and the period over which we expect to complete our performance obligation. The performance period or measure of progress was estimated at the inception of the AffaMed Agreement and is re-evaluated in subsequent reporting periods. This re-evaluation may shorten or lengthen the period over which we recognize revenue.</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and March 31, 2025, we had short-term deferred revenue of $1.2 million and $1.3 million, respectively, and long-term deferred revenue of $0.2 million and $0.4 million, respectively, related to the AffaMed Agreement. During the three months ended June 30, 2025, we recognized revenue of $0.2 million, as compared to $0.1 million during the three months ended June 30, 2024, under the AffaMed Agreement, which was included in the deferred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balance at the beginning of each period. The remaining deferred revenue under the AffaMed Agreement will be recognized over the expected remaining contractual term.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Fuji Pharma Agreement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September 1, 2023, we entered into an Exclusive Negotiation Agreement (the </w:t>
      </w:r>
      <w:r>
        <w:rPr>
          <w:rFonts w:ascii="Times New Roman" w:cs="Times New Roman" w:eastAsia="Times New Roman" w:hAnsi="Times New Roman"/>
          <w:sz w:val="18"/>
          <w:szCs w:val="18"/>
          <w:i w:val="1"/>
          <w:iCs w:val="1"/>
          <w:color w:val="auto"/>
        </w:rPr>
        <w:t>Negotiation Agreement</w:t>
      </w:r>
      <w:r>
        <w:rPr>
          <w:rFonts w:ascii="Times New Roman" w:cs="Times New Roman" w:eastAsia="Times New Roman" w:hAnsi="Times New Roman"/>
          <w:sz w:val="18"/>
          <w:szCs w:val="18"/>
          <w:color w:val="auto"/>
        </w:rPr>
        <w:t>) with Fuji Pharma Co., Ltd. (</w:t>
      </w:r>
      <w:r>
        <w:rPr>
          <w:rFonts w:ascii="Times New Roman" w:cs="Times New Roman" w:eastAsia="Times New Roman" w:hAnsi="Times New Roman"/>
          <w:sz w:val="18"/>
          <w:szCs w:val="18"/>
          <w:i w:val="1"/>
          <w:iCs w:val="1"/>
          <w:color w:val="auto"/>
        </w:rPr>
        <w:t>Fuji Pharma</w:t>
      </w:r>
      <w:r>
        <w:rPr>
          <w:rFonts w:ascii="Times New Roman" w:cs="Times New Roman" w:eastAsia="Times New Roman" w:hAnsi="Times New Roman"/>
          <w:sz w:val="18"/>
          <w:szCs w:val="18"/>
          <w:color w:val="auto"/>
        </w:rPr>
        <w:t xml:space="preserve">), a Tokyo Stock Exchange-listed, Japan-based pharmaceutical company with a significant research, development, and commercial focus on pharmacological therapies for women’s health conditions. Pursuant to the terms and conditions of the Negotiation Agreement, we agreed, for a limited period of time, to negotiate exclusively with Fuji Pharma for a potential exclusive license agreement to develop and commercialize PH80 in Japan. PH80, our clinical-stage pherine product candidate focused on women's health conditions, primarily the treatment of vasomotor symptoms (hot flashes) associated with menopause (the </w:t>
      </w:r>
      <w:r>
        <w:rPr>
          <w:rFonts w:ascii="Times New Roman" w:cs="Times New Roman" w:eastAsia="Times New Roman" w:hAnsi="Times New Roman"/>
          <w:sz w:val="18"/>
          <w:szCs w:val="18"/>
          <w:i w:val="1"/>
          <w:iCs w:val="1"/>
          <w:color w:val="auto"/>
        </w:rPr>
        <w:t>Potential Definitive Agreement</w:t>
      </w:r>
      <w:r>
        <w:rPr>
          <w:rFonts w:ascii="Times New Roman" w:cs="Times New Roman" w:eastAsia="Times New Roman" w:hAnsi="Times New Roman"/>
          <w:sz w:val="18"/>
          <w:szCs w:val="18"/>
          <w:color w:val="auto"/>
        </w:rPr>
        <w:t xml:space="preserve">). The Negotiation Agreement provides for an exclusive negotiation period beginning on the date of formal written notice being received by Fuji Pharma that we have selected a contract development and manufacturing organization to conduct preclinical toxicology studies for PH80 (the </w:t>
      </w:r>
      <w:r>
        <w:rPr>
          <w:rFonts w:ascii="Times New Roman" w:cs="Times New Roman" w:eastAsia="Times New Roman" w:hAnsi="Times New Roman"/>
          <w:sz w:val="18"/>
          <w:szCs w:val="18"/>
          <w:i w:val="1"/>
          <w:iCs w:val="1"/>
          <w:color w:val="auto"/>
        </w:rPr>
        <w:t>Payment Event</w:t>
      </w:r>
      <w:r>
        <w:rPr>
          <w:rFonts w:ascii="Times New Roman" w:cs="Times New Roman" w:eastAsia="Times New Roman" w:hAnsi="Times New Roman"/>
          <w:sz w:val="18"/>
          <w:szCs w:val="18"/>
          <w:color w:val="auto"/>
        </w:rPr>
        <w:t>), and terminating on the later to occur of (i) fourteen (14) months from the date of the Payment Event or (ii) ninety</w:t>
      </w:r>
    </w:p>
    <w:p>
      <w:pPr>
        <w:spacing w:after="0" w:line="3" w:lineRule="exact"/>
        <w:rPr>
          <w:sz w:val="20"/>
          <w:szCs w:val="20"/>
          <w:color w:val="auto"/>
        </w:rPr>
      </w:pPr>
    </w:p>
    <w:p>
      <w:pPr>
        <w:ind w:firstLine="8"/>
        <w:spacing w:after="0" w:line="260" w:lineRule="auto"/>
        <w:tabs>
          <w:tab w:leader="none" w:pos="39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from the date that the U.S. Food and Drug Administration accepts our PH80 Investigational New Drug (</w:t>
      </w:r>
      <w:r>
        <w:rPr>
          <w:rFonts w:ascii="Times New Roman" w:cs="Times New Roman" w:eastAsia="Times New Roman" w:hAnsi="Times New Roman"/>
          <w:sz w:val="18"/>
          <w:szCs w:val="18"/>
          <w:i w:val="1"/>
          <w:iCs w:val="1"/>
          <w:color w:val="auto"/>
        </w:rPr>
        <w:t>IND</w:t>
      </w:r>
      <w:r>
        <w:rPr>
          <w:rFonts w:ascii="Times New Roman" w:cs="Times New Roman" w:eastAsia="Times New Roman" w:hAnsi="Times New Roman"/>
          <w:sz w:val="18"/>
          <w:szCs w:val="18"/>
          <w:color w:val="auto"/>
        </w:rPr>
        <w:t xml:space="preserve">) application for clinical development of PH80 in the U.S. for the treatment of vasomotor symptoms (hot flashes) due to menopause (the </w:t>
      </w:r>
      <w:r>
        <w:rPr>
          <w:rFonts w:ascii="Times New Roman" w:cs="Times New Roman" w:eastAsia="Times New Roman" w:hAnsi="Times New Roman"/>
          <w:sz w:val="18"/>
          <w:szCs w:val="18"/>
          <w:i w:val="1"/>
          <w:iCs w:val="1"/>
          <w:color w:val="auto"/>
        </w:rPr>
        <w:t>Exclusive Negotiation Period</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consideration for the Exclusive Negotiation Period, Fuji Pharma agreed to make a payment to us of $1.5 million (</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payable upon occurrence of the Payment Event. The Payment Event occurred in October 2023, and we received payment of the Purchase Price in full in November 2023. The Purchase Price is non-refundable, except upon a material breach of the Negotiation Agreement by the Company; however, should the Company and Fuji Pharma enter into the Potential Definitive Agreement, the Purchase Price will be creditable against any upfront fee due in connection with the execution of such Potential Definitive Agreement. Neither the Company nor Fuji Pharma is obligated to enter into the Potential Definitive Agreement, and if the Company and Fuji Pharma have not entered into the Potential Definitive Agreement on or before the end of the Exclusive Negotiation Period, either the Company or Fuji Pharma may terminate any further negotiations.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2025, the entire amount remaining unrecognized under the Negotiation Agreement of $1.3 million was classified as short term, as a component of deferred revenue, current portion, on the condensed consolidated balance sheets. During the three months ended June 30, 2025, we recognized no revenue under the Negotiation Agreement. During the three months ended June 30, 2024, we recognized an immaterial amount of revenue under the Negotiation Agreement. The remaining deferred revenue under the Negotiation Agreement will be recognized upon termination of the Exclusive Negotiation Period, or accounted for as a creditable prepayment under ASC 606, should an exclusive license agreement be reached with Fuji Pharma prior to the date of termination.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Related Party Transactions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2023, in connection with his retirement, we entered into a consulting agreement with our former Chief Financial Officer, Jerrold D. Dotson, to assist in transition matters related to the employment of our new Chief Financial Officer. Pursuant to the agreement, Mr. Dotson received an initial payment of $100,000 and $10,000 per month from September 2023 through August 2024. In August 2024, the agreement was amended to extend the expiration date to March 31, 2025. and subsequently amended to extend the expiration to September 30, 2025. During the three months ended June 30, 2025, we recorded expense of $30,000 under the agreement, as compared to $30,000 during the three months ended June 30, 2024.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 xml:space="preserve">From time to time, we may be party to litigation, arbitration or other legal proceedings in the course of our business, such as the civil action against the Company and its Board of Directors, certain of its executive officers, professional services and financial advisors, and industry analysts in the United States District Court for the Northern District of California (Case No. 4:25-cv-01510) on February 13, 2025, by two purported stockholders, filed </w:t>
      </w:r>
      <w:r>
        <w:rPr>
          <w:rFonts w:ascii="Times New Roman" w:cs="Times New Roman" w:eastAsia="Times New Roman" w:hAnsi="Times New Roman"/>
          <w:sz w:val="18"/>
          <w:szCs w:val="18"/>
          <w:i w:val="1"/>
          <w:iCs w:val="1"/>
          <w:color w:val="auto"/>
        </w:rPr>
        <w:t>pro se</w:t>
      </w:r>
      <w:r>
        <w:rPr>
          <w:rFonts w:ascii="Times New Roman" w:cs="Times New Roman" w:eastAsia="Times New Roman" w:hAnsi="Times New Roman"/>
          <w:sz w:val="18"/>
          <w:szCs w:val="18"/>
          <w:color w:val="auto"/>
        </w:rPr>
        <w:t xml:space="preserve"> (i.e., acting on their own behalf rather than through an attorney), seeking compensatory and punitive damages, as well as fees and costs, which the Company believes are wholly without merit, and intends to vigorously defend itself.</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outcome of any such legal proceedings, regardless of the merits, is inherently uncertain. In addition, litigation and related matters are costly and may divert the attention of our management and other resources that would otherwise be engaged in other activities. If we were unable to prevail in any such legal proceedings, our business, results of operations, liquidity, and financial condition could be adversely affected.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Certain statements in this Quarterly Report on Form 10-Q (Quarterly Report or Report) may constitute “forward-looking statements” for purposes of the federal securities laws, including the safe harbor provisions of Section 27A of the Securities Act of 1933, as amended (the Securities Act), and Section 21E of the Securities Exchange Act of 1934, as amended (the Exchange Act), that involve substantial risks and uncertainties.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also forward-looking statements. The words “anticipate,” “believe,” “can,” “contemplate,” continue,” “could,” “estimate,” “expect,” “future,” “intends,” “may,” “might,” “plan,” “possible,” “potential,” “predict,” “project,” “should,” “strategy,” “target,” “will,” “would,” or the negative of these terms or similar expressions may identify forward-looking statements, but the absence of these words does not mean that a statement is not forward-looking. Forward-looking statements in this Report may include, for example, statements about:</w:t>
      </w:r>
    </w:p>
    <w:p>
      <w:pPr>
        <w:spacing w:after="0" w:line="16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period over which we anticipate our available financial resources will enable us to fund our operating expense;</w:t>
      </w:r>
    </w:p>
    <w:p>
      <w:pPr>
        <w:spacing w:after="0" w:line="184" w:lineRule="exact"/>
        <w:rPr>
          <w:rFonts w:ascii="Times New Roman" w:cs="Times New Roman" w:eastAsia="Times New Roman" w:hAnsi="Times New Roman"/>
          <w:sz w:val="18"/>
          <w:szCs w:val="18"/>
          <w:i w:val="1"/>
          <w:iCs w:val="1"/>
          <w:color w:val="auto"/>
        </w:rPr>
      </w:pPr>
    </w:p>
    <w:p>
      <w:pPr>
        <w:ind w:left="660" w:hanging="328"/>
        <w:spacing w:after="0" w:line="268"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obtain additional funding for our operations, including funding necessary to complete further development, approval and, if approved, commercialization of our product candidates;</w:t>
      </w:r>
    </w:p>
    <w:p>
      <w:pPr>
        <w:spacing w:after="0" w:line="131" w:lineRule="exact"/>
        <w:rPr>
          <w:rFonts w:ascii="Times New Roman" w:cs="Times New Roman" w:eastAsia="Times New Roman" w:hAnsi="Times New Roman"/>
          <w:sz w:val="18"/>
          <w:szCs w:val="18"/>
          <w:i w:val="1"/>
          <w:iCs w:val="1"/>
          <w:color w:val="auto"/>
        </w:rPr>
      </w:pPr>
    </w:p>
    <w:p>
      <w:pPr>
        <w:ind w:left="660" w:hanging="328"/>
        <w:spacing w:after="0" w:line="268"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format, objectives, strategy, likelihood of success, and cost of our preclinical studies and clinical trials and other product development activities, including the design of our preclinical studies and clinical trials;</w:t>
      </w:r>
    </w:p>
    <w:p>
      <w:pPr>
        <w:spacing w:after="0" w:line="13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timing of initiation of our preclinical studies and clinical trials;</w:t>
      </w:r>
    </w:p>
    <w:p>
      <w:pPr>
        <w:spacing w:after="0" w:line="17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recruit, enroll and randomize suitable patients in our clinical trials;</w:t>
      </w:r>
    </w:p>
    <w:p>
      <w:pPr>
        <w:spacing w:after="0" w:line="184"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timing of completion of our preclinical studies and clinical trials and related preparatory work;</w:t>
      </w:r>
    </w:p>
    <w:p>
      <w:pPr>
        <w:spacing w:after="0" w:line="184"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collect and interpret preclinical and clinical data;</w:t>
      </w:r>
    </w:p>
    <w:p>
      <w:pPr>
        <w:spacing w:after="0" w:line="171"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timing and outcome of regulatory interactions, including whether preclinical studies and clinical trials meet the criteria to enable early-stage clinical development or support registration of our product candidates;</w:t>
      </w:r>
    </w:p>
    <w:p>
      <w:pPr>
        <w:spacing w:after="0" w:line="104"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potential attributes and benefits of our product candidates;</w:t>
      </w:r>
    </w:p>
    <w:p>
      <w:pPr>
        <w:spacing w:after="0" w:line="184" w:lineRule="exact"/>
        <w:rPr>
          <w:rFonts w:ascii="Times New Roman" w:cs="Times New Roman" w:eastAsia="Times New Roman" w:hAnsi="Times New Roman"/>
          <w:sz w:val="18"/>
          <w:szCs w:val="18"/>
          <w:i w:val="1"/>
          <w:iCs w:val="1"/>
          <w:color w:val="auto"/>
        </w:rPr>
      </w:pPr>
    </w:p>
    <w:p>
      <w:pPr>
        <w:ind w:left="660" w:hanging="328"/>
        <w:spacing w:after="0" w:line="268"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obtain and, if obtained, maintain regulatory approval for our product candidates, and any related restrictions, limitations or warnings on the label of an approved product candidate;</w:t>
      </w:r>
    </w:p>
    <w:p>
      <w:pPr>
        <w:spacing w:after="0" w:line="13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potential for our business development efforts to optimize the potential value of our neuroscience pipeline;</w:t>
      </w:r>
    </w:p>
    <w:p>
      <w:pPr>
        <w:spacing w:after="0" w:line="171"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compete with other companies currently marketing or engaged in the development of treatments for the indications that we pursue or are pursuing for our product candidates;</w:t>
      </w:r>
    </w:p>
    <w:p>
      <w:pPr>
        <w:spacing w:after="0" w:line="104"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obtain and maintain intellectual property protection for our product candidates and the duration of such protection;</w:t>
      </w:r>
    </w:p>
    <w:p>
      <w:pPr>
        <w:spacing w:after="0" w:line="184" w:lineRule="exact"/>
        <w:rPr>
          <w:rFonts w:ascii="Times New Roman" w:cs="Times New Roman" w:eastAsia="Times New Roman" w:hAnsi="Times New Roman"/>
          <w:sz w:val="18"/>
          <w:szCs w:val="18"/>
          <w:i w:val="1"/>
          <w:iCs w:val="1"/>
          <w:color w:val="auto"/>
        </w:rPr>
      </w:pPr>
    </w:p>
    <w:p>
      <w:pPr>
        <w:ind w:left="660" w:hanging="328"/>
        <w:spacing w:after="0" w:line="268"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contract with and rely on third-parties to assist in conducting our preclinical studies and clinical trials and manufacturing our product candidates;</w:t>
      </w:r>
    </w:p>
    <w:p>
      <w:pPr>
        <w:spacing w:after="0" w:line="131" w:lineRule="exact"/>
        <w:rPr>
          <w:rFonts w:ascii="Times New Roman" w:cs="Times New Roman" w:eastAsia="Times New Roman" w:hAnsi="Times New Roman"/>
          <w:sz w:val="18"/>
          <w:szCs w:val="18"/>
          <w:i w:val="1"/>
          <w:iCs w:val="1"/>
          <w:color w:val="auto"/>
        </w:rPr>
      </w:pPr>
    </w:p>
    <w:p>
      <w:pPr>
        <w:ind w:left="660" w:right="20" w:hanging="328"/>
        <w:spacing w:after="0" w:line="268"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size and growth potential of the markets for our product candidates, and our ability to serve those markets, either on our own or in partnership with others;</w:t>
      </w:r>
    </w:p>
    <w:p>
      <w:pPr>
        <w:spacing w:after="0" w:line="13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rate and degree of market acceptance of our product candidates, if approved;</w:t>
      </w:r>
    </w:p>
    <w:p>
      <w:pPr>
        <w:spacing w:after="0" w:line="184"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pricing and reimbursement of our product candidates, if approved;</w:t>
      </w:r>
    </w:p>
    <w:p>
      <w:pPr>
        <w:spacing w:after="0" w:line="17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regulatory changes, including regulatory personnel, and developments in the U.S. and foreign countries;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laws, regulations, accounting standards, regulatory requirements, judicial decisions and guidance issued by authoritative bodies;</w:t>
      </w:r>
    </w:p>
    <w:p>
      <w:pPr>
        <w:spacing w:after="0" w:line="184"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attract and retain key scientific, medical, commercial and management personnel;</w:t>
      </w:r>
    </w:p>
    <w:p>
      <w:pPr>
        <w:spacing w:after="0" w:line="17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estimates regarding expenses, future revenue, and needs for additional financing;</w:t>
      </w:r>
    </w:p>
    <w:p>
      <w:pPr>
        <w:spacing w:after="0" w:line="184"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future financial performance;</w:t>
      </w:r>
    </w:p>
    <w:p>
      <w:pPr>
        <w:spacing w:after="0" w:line="184" w:lineRule="exact"/>
        <w:rPr>
          <w:rFonts w:ascii="Times New Roman" w:cs="Times New Roman" w:eastAsia="Times New Roman" w:hAnsi="Times New Roman"/>
          <w:sz w:val="18"/>
          <w:szCs w:val="18"/>
          <w:i w:val="1"/>
          <w:iCs w:val="1"/>
          <w:color w:val="auto"/>
        </w:rPr>
      </w:pPr>
    </w:p>
    <w:p>
      <w:pPr>
        <w:ind w:left="660" w:hanging="328"/>
        <w:spacing w:after="0" w:line="268"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recognize the anticipated benefits of our License and Collaboration Agreement with AffaMed Therapeutics, Inc. (including our ability to receive future payments thereunder) and any other future financing or business development transactions;</w:t>
      </w:r>
    </w:p>
    <w:p>
      <w:pPr>
        <w:spacing w:after="0" w:line="131" w:lineRule="exact"/>
        <w:rPr>
          <w:rFonts w:ascii="Times New Roman" w:cs="Times New Roman" w:eastAsia="Times New Roman" w:hAnsi="Times New Roman"/>
          <w:sz w:val="18"/>
          <w:szCs w:val="18"/>
          <w:i w:val="1"/>
          <w:iCs w:val="1"/>
          <w:color w:val="auto"/>
        </w:rPr>
      </w:pPr>
    </w:p>
    <w:p>
      <w:pPr>
        <w:jc w:val="both"/>
        <w:ind w:left="660" w:hanging="328"/>
        <w:spacing w:after="0" w:line="247"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 of adverse market or macroeconomic conditions, including, among others, inflation, interest rates and economic uncertainty, market volatility resulting from global political or economic developments, war, international hostilities and terrorism, any future public health epidemics or outbreaks of infectious disease, the residual post-COVID environment and other factors on any of the foregoing or other aspects of our business operations, including but not limited to our preclinical studies, clinical trials and other product development activities, healthcare systems and the global economy as a whole; and</w:t>
      </w:r>
    </w:p>
    <w:p>
      <w:pPr>
        <w:spacing w:after="0" w:line="1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risks and uncertainties, including those listed under Part I, Item 1A of this Quarterly Report titled “Risk Factors.”</w:t>
      </w:r>
    </w:p>
    <w:p>
      <w:pPr>
        <w:spacing w:after="0" w:line="17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The forward-looking statements contained in this Quarterly Report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or important factors that may cause actual results or performance to be materially different from those expressed or implied by these forward-looking statements. These risks and uncertainties include, but are not limited to, those factors described in the sections titled “Risk Factors” and “Management’s Discussion and Analysis of Financial Condition and Results of Operations,” set forth in this Quarterly Report. 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15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You should read this Quarterly Report completely and with the understanding that our actual future results may be materially different from what we expect. We qualify all of our forward-looking statements by these cautionary statements.</w:t>
      </w:r>
    </w:p>
    <w:p>
      <w:pPr>
        <w:spacing w:after="0" w:line="13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This Quarterly Report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as exhibits to this Quarterly Report. Unless the context otherwise requires, reference in this Quarterly Report to the terms “Vistagen,” “the Company,” “we,” “us,” “our,” and similar designations refer to Vistagen Therapeutics, Inc., a Nevada corporation, and where appropriate, our consolidated subsidiaries.</w:t>
      </w:r>
    </w:p>
    <w:p>
      <w:pPr>
        <w:spacing w:after="0" w:line="15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This Quarterly Report may contain references to trademarks, trade names and service marks belonging to other entities. Solely for convenience, trademarks, trade names and service marks referred to in this Quarterly Report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5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i w:val="1"/>
          <w:iCs w:val="1"/>
          <w:color w:val="auto"/>
        </w:rPr>
        <w:t>We may from time to time provide estimates, projections and other information concerning our industry, the general business environment, and the markets for certain diseases or disorders, including estimates regarding the potential size of those markets and the estimated incidence and prevalence of certain medical conditions. Information that is based on estimates, forecasts, market research, projections, or similar methodologies is inherently subject to uncertainties, and actual circumstances, events or numbers, including actual disease prevalence rates and market size, may differ materially from the information reflected in this Quarterly Report. Unless otherwise expressly stated, we obtained the industry, market and competitive position data from our internal estimates and research, or from independent market research, industry and general publications and surveys, governmental agencies and publicly available information in addition to</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research, surveys and studies conducted by third parties that have not been independently verified which may, in the future, prove not to have been accurate.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late clinical-stage biopharmaceutical company leveraging a deep understanding of nose-to-brain neurocircuitry to develop and commercialize a new class of non-systemic intranasal product candidates called pherines. Our broad and diverse neuroscience pipeline currently consists of five clinical-stage pherine product candidates, each with a novel mechanism of action (</w:t>
      </w:r>
      <w:r>
        <w:rPr>
          <w:rFonts w:ascii="Times New Roman" w:cs="Times New Roman" w:eastAsia="Times New Roman" w:hAnsi="Times New Roman"/>
          <w:sz w:val="18"/>
          <w:szCs w:val="18"/>
          <w:i w:val="1"/>
          <w:iCs w:val="1"/>
          <w:color w:val="auto"/>
        </w:rPr>
        <w:t>MOA</w:t>
      </w:r>
      <w:r>
        <w:rPr>
          <w:rFonts w:ascii="Times New Roman" w:cs="Times New Roman" w:eastAsia="Times New Roman" w:hAnsi="Times New Roman"/>
          <w:sz w:val="18"/>
          <w:szCs w:val="18"/>
          <w:color w:val="auto"/>
        </w:rPr>
        <w:t>) and positive clinical data in their targeted indication(s). Pherines specifically and selectively bind to peripheral receptors in human nasal chemosensory neurons, and are designed to rapidly activate nose-to-brain neurocircuits believed to regulate brain areas without requiring systemic absorption or uptake into the brain to achieve desired therapeutic benefits.</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most advanced intranasal pherine product candidate is fasedienol, which is being investigated in our U.S. registration-directed PALISADE Program for the acute treatment of social anxiety disorder (</w:t>
      </w:r>
      <w:r>
        <w:rPr>
          <w:rFonts w:ascii="Times New Roman" w:cs="Times New Roman" w:eastAsia="Times New Roman" w:hAnsi="Times New Roman"/>
          <w:sz w:val="18"/>
          <w:szCs w:val="18"/>
          <w:i w:val="1"/>
          <w:iCs w:val="1"/>
          <w:color w:val="auto"/>
        </w:rPr>
        <w:t>SAD</w:t>
      </w:r>
      <w:r>
        <w:rPr>
          <w:rFonts w:ascii="Times New Roman" w:cs="Times New Roman" w:eastAsia="Times New Roman" w:hAnsi="Times New Roman"/>
          <w:sz w:val="18"/>
          <w:szCs w:val="18"/>
          <w:color w:val="auto"/>
        </w:rPr>
        <w:t xml:space="preserve">). In August 2023, we received and reported positive topline results from our PALISADE-2 Phase 3 trial of fasedienol for the acute treatment of SAD. The ongoing clinical trials in our PALISADE Program include our PALISADE-3 and PALISADE-4 Phase 3 trials, which are designed similarly to PALISADE-2, and a small exploratory Phase 2 repeat dose study (the </w:t>
      </w:r>
      <w:r>
        <w:rPr>
          <w:rFonts w:ascii="Times New Roman" w:cs="Times New Roman" w:eastAsia="Times New Roman" w:hAnsi="Times New Roman"/>
          <w:sz w:val="18"/>
          <w:szCs w:val="18"/>
          <w:i w:val="1"/>
          <w:iCs w:val="1"/>
          <w:color w:val="auto"/>
        </w:rPr>
        <w:t>Repeat Dose Study</w:t>
      </w:r>
      <w:r>
        <w:rPr>
          <w:rFonts w:ascii="Times New Roman" w:cs="Times New Roman" w:eastAsia="Times New Roman" w:hAnsi="Times New Roman"/>
          <w:sz w:val="18"/>
          <w:szCs w:val="18"/>
          <w:color w:val="auto"/>
        </w:rPr>
        <w:t>). Topline data for PALISADE-3 are expected in the fourth quarter of 2025 and topline results for PALISADE-4 and the Repeat Dose Study are expected in the first half of 2026. We believe either PALISADE-3 or PALISADE-4, if successful, together with the positive results from PALISADE-2, may establish substantial evidence of the effectiveness of fasedienol in support of a potential New Drug Application (</w:t>
      </w:r>
      <w:r>
        <w:rPr>
          <w:rFonts w:ascii="Times New Roman" w:cs="Times New Roman" w:eastAsia="Times New Roman" w:hAnsi="Times New Roman"/>
          <w:sz w:val="18"/>
          <w:szCs w:val="18"/>
          <w:i w:val="1"/>
          <w:iCs w:val="1"/>
          <w:color w:val="auto"/>
        </w:rPr>
        <w:t>NDA</w:t>
      </w:r>
      <w:r>
        <w:rPr>
          <w:rFonts w:ascii="Times New Roman" w:cs="Times New Roman" w:eastAsia="Times New Roman" w:hAnsi="Times New Roman"/>
          <w:sz w:val="18"/>
          <w:szCs w:val="18"/>
          <w:color w:val="auto"/>
        </w:rPr>
        <w:t>) submission to the U.S. FDA for the acute treatment of SAD.</w:t>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FDA has granted Fast Track designation for the investigation of fasedienol for the acute treatment of SAD. Fasedienol has the potential to be the first FDA-approved acute treatment of SAD and provide significant advantages relative to the current standard of care for the highly prevalent disorder.</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also reported positive results from an exploratory Phase 2A clinical trial for each of our next most advanced pherine product candidates, itruvone for treatment of major depressive disorder, and PH80 for both vasomotor symptoms (hot flashes) due to menopause and premenstrual dysphoric disorder (</w:t>
      </w:r>
      <w:r>
        <w:rPr>
          <w:rFonts w:ascii="Times New Roman" w:cs="Times New Roman" w:eastAsia="Times New Roman" w:hAnsi="Times New Roman"/>
          <w:sz w:val="18"/>
          <w:szCs w:val="18"/>
          <w:i w:val="1"/>
          <w:iCs w:val="1"/>
          <w:color w:val="auto"/>
        </w:rPr>
        <w:t>PMDD</w:t>
      </w:r>
      <w:r>
        <w:rPr>
          <w:rFonts w:ascii="Times New Roman" w:cs="Times New Roman" w:eastAsia="Times New Roman" w:hAnsi="Times New Roman"/>
          <w:sz w:val="18"/>
          <w:szCs w:val="18"/>
          <w:color w:val="auto"/>
        </w:rPr>
        <w:t>), as well as a pilot Phase 2A study of PH15 for improvement of psychomotor impairment due to mental fatigue and an exploratory Phase 2A study of PH284 for treatment of cancer cachexia.</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passionate about developing transformative treatment options with potential to meet clear and growing unmet needs and bring meaningful relief to patients underserved by the current standard of care for multiple highly prevalent indications, all while delivering long term value to our stockholders.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Neuroscience Product Candidates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Fasedienol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Social Anxiety Disorder</w:t>
      </w:r>
    </w:p>
    <w:p>
      <w:pPr>
        <w:spacing w:after="0" w:line="2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Social anxiety disorder is a highly prevalent, serious, and life-threatening psychiatric mental health disorder affecting over 30 million adults in the U.S. With onset typically early in life, usually during adolescence, SAD </w:t>
      </w:r>
      <w:r>
        <w:rPr>
          <w:rFonts w:ascii="Times New Roman" w:cs="Times New Roman" w:eastAsia="Times New Roman" w:hAnsi="Times New Roman"/>
          <w:sz w:val="17"/>
          <w:szCs w:val="17"/>
          <w:color w:val="212121"/>
        </w:rPr>
        <w:t>persists for many years thereafter, with a</w:t>
      </w:r>
      <w:r>
        <w:rPr>
          <w:rFonts w:ascii="Times New Roman" w:cs="Times New Roman" w:eastAsia="Times New Roman" w:hAnsi="Times New Roman"/>
          <w:sz w:val="17"/>
          <w:szCs w:val="17"/>
          <w:color w:val="auto"/>
        </w:rPr>
        <w:t xml:space="preserve"> reported mean duration of about 20 years. While often a long-term disorder, SAD can manifest acutely when </w:t>
      </w:r>
      <w:r>
        <w:rPr>
          <w:rFonts w:ascii="Times New Roman" w:cs="Times New Roman" w:eastAsia="Times New Roman" w:hAnsi="Times New Roman"/>
          <w:sz w:val="17"/>
          <w:szCs w:val="17"/>
          <w:color w:val="212121"/>
        </w:rPr>
        <w:t>triggered by anxiety-provoking</w:t>
      </w:r>
      <w:r>
        <w:rPr>
          <w:rFonts w:ascii="Times New Roman" w:cs="Times New Roman" w:eastAsia="Times New Roman" w:hAnsi="Times New Roman"/>
          <w:sz w:val="17"/>
          <w:szCs w:val="17"/>
          <w:color w:val="auto"/>
        </w:rPr>
        <w:t xml:space="preserve"> social and performance situations</w:t>
      </w:r>
      <w:r>
        <w:rPr>
          <w:rFonts w:ascii="Times New Roman" w:cs="Times New Roman" w:eastAsia="Times New Roman" w:hAnsi="Times New Roman"/>
          <w:sz w:val="17"/>
          <w:szCs w:val="17"/>
          <w:color w:val="212121"/>
        </w:rPr>
        <w:t>. I</w:t>
      </w:r>
      <w:r>
        <w:rPr>
          <w:rFonts w:ascii="Times New Roman" w:cs="Times New Roman" w:eastAsia="Times New Roman" w:hAnsi="Times New Roman"/>
          <w:sz w:val="17"/>
          <w:szCs w:val="17"/>
          <w:color w:val="auto"/>
        </w:rPr>
        <w:t>n those situations, individuals with SAD experience extreme anxiety, distress, fear, and impairment due to their fear of embarrassment, judgment, humiliation, negative evaluation, and scrutiny. The disorder can significantly disrupt family and social life, diminish self-esteem, and hinder work performance. People with SAD may struggle to form social or vocational relationships, which can lead to feelings of powerlessness and shame. The profound anxiety associated with SAD often results in avoidance of everyday interactions and opportunities in academic, social and vocational settings. This avoidance can lead to loneliness, a lack of personal and professional achievements and relationships, as well as economic difficulties, ultimately impacting various aspects of daily life and adding to societal burden. The pervasive effects of SAD often lead to depression and a sense of hopelessness, transforming what is sometimes perceived as extreme shyness into a debilitating mental illness. SAD has a lifetime comorbidity rate of approximately 81% with other serious psychiatric disorders, and individuals with SAD face an increased risk of serious and life-threatening co-morbid depression, substance abuse, suicidal ideation and suicide.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Fasedienol for the Acute Treatment of Social Anxiety Disorder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Fasedienol, our lead clinical-stage product candidate, is a synthetic neuroactive intranasal pherine in an ongoing U.S. registration-directed Phase 3 clinical development program for the acute treatment of anxiety in adults with SAD. Fasedienol's MOA is fundamentally differentiated from all FDA-approved anti-anxiety medications. When administered intranasally in microgram-level doses, neurocircuitry-focused fasedienol modulates the nasal-limbic amygdala fear and anxiety neurocircuits involved in the pathophysiology of SAD, and potentially other acute anxiety disorders. Neurocircuitry-focused fasedienol is pharmacologically active without requiring apparent systemic absorption or direct binding on neurons in the brain to achieve its rapid-onset anxiolytic effects. Fasedienol does not exert effects on certain cellular receptors that are associated with known drug abuse liability potential (for example, dopamine and opiate receptors) when activated by certain other pharmaceutical compounds for neuropsychiatric and neurological disorders. Unlike benzodiazepines, fasedienol does not potentiate GABA-A receptors. Because of its innovative non-systemic neurocircuitry-focused MOA, we believe fasedienol has the potential to achieve rapid-onset anxiolytic effects for individuals with SAD on an acute, as-needed basis, with a significantly reduced risk of unwanted side effects and safety concerns, such as potential drug-drug interactions, abuse, misuse, and addiction, associated with certain current oral and other systemically absorbed neuropsychiatric pharmaceuticals that act directly on neurons in the brain and are sometimes prescribed off-label for the acute treatment of SAD.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Fasedienol's U.S. Registration-directed PALISADE Program</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is no FDA-approved pharmacological therapy for the acute treatment of SAD. We believe fasedienol has the potential to allow individuals affected by SAD to engage in stressful or previously avoided social or performance situations with fewer or less severe symptoms. Because of its rapid-onset non-systemic proposed MOA and pharmacological effect, a key and substantial difference between fasedienol and all other available therapies approved by the FDA is that fasedienol is being developed with potential to be the first FDA-approved acute treatment of SAD. Acute treatment with fasedienol has the potential to reduce the wave of anxiety usually experienced by SAD patients before engaging in and during a feared and anxiety-provoking social or performance situation.</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aligned with the FDA that a clinic-based public speaking challenge and the Subjective Units of Distress Scale (</w:t>
      </w:r>
      <w:r>
        <w:rPr>
          <w:rFonts w:ascii="Times New Roman" w:cs="Times New Roman" w:eastAsia="Times New Roman" w:hAnsi="Times New Roman"/>
          <w:sz w:val="18"/>
          <w:szCs w:val="18"/>
          <w:i w:val="1"/>
          <w:iCs w:val="1"/>
          <w:color w:val="auto"/>
        </w:rPr>
        <w:t>SUDS</w:t>
      </w:r>
      <w:r>
        <w:rPr>
          <w:rFonts w:ascii="Times New Roman" w:cs="Times New Roman" w:eastAsia="Times New Roman" w:hAnsi="Times New Roman"/>
          <w:sz w:val="18"/>
          <w:szCs w:val="18"/>
          <w:color w:val="auto"/>
        </w:rPr>
        <w:t>) are the appropriate study design and primary efficacy endpoint, respectively, to measure anxiety immediately related to the specific stressor, and is an appropriate and efficient path for our U.S. registration-directed PALISADE Program, which is focused on fasedienol’s potential to become the first FDA-approved acute treatment of anxiety for adults with SAD. The Phase 3 clinical trials in our PALISADE Program are randomized, double-blind, placebo-controlled, U.S. multi-center clinical trials designed to evaluate the efficacy, safety, and tolerability of a single dose of fasedienol to relieve anxiety symptoms in adult patients with SAD during a simulated, anxiety-provoking public speaking challenge conducted in a clinical setting, as measured using the patient-rated SUDS as the primary efficacy endpoint. Two of the Phase 3 trials in our PALISADE Program were previously concluded; PALISADE-1, reported in 2022, did not meet its primary endpoint, and PALISADE-2, reported in 2023, successfully met its primary efficacy endpoint, and as further described below, two similar Phase 3 trials, PALISADE-3 and PALISADE-4, are ongoing. Our PALISADE Program also includes open-label extension safety studies, the ongoing small Phase 2 Repeat Dose Study, certain standard preclinical studies, and a small human factor study.</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August 2023, we received and reported positive topline results from our PALISADE-2 Phase 3 trial of fasedienol for the acute treatment of anxiety in adults with SAD. PALISADE-2 (n=141) met its primary efficacy endpoint, which was the difference in mean SUDS scores during the public speaking challenge at baseline (Visit 2) and treatment (Visit 3) for subjects treated with fasedienol versus placebo at Visit 3. Fasedienol-treated patients (n=70) demonstrated a greater mean change from baseline (least-squares (LS) mean = -13.8) compared to placebo (n=71, LS mean = -8.0), for a statistically significant, and we believe clinically relevant, difference between groups of -5.8 (p=0.015). PALISADE-2 also met its secondary endpoint, demonstrating a statistically significant difference in the proportion of clinician-assessed responders between fasedienol and placebo as measured by the Clinical Global Impressions – Improvement (CGI-I) scale. Responders were identified as those who were rated "very much less anxious" or "much less anxious" and 37.7% of fasedienol-treated patients were rated as responders, as compared to 21.4% of those treated with placebo (p=0.033). The trial also met an important exploratory patient-reported endpoint with a statistically significant difference in the proportion of patient-assessed responders between fasedienol and placebo as measured by the Patient’s Global Impression of Change (PGI-C) scale. Responders were identified as those who self-rated "very much less anxious" or "much less anxious" on the PGI-C and 40.6% of fasedienol-treated patients were rated as responders, as compared to 18.6% of those treated with placebo (p=0.003). Our PALISADE-2 Phase 3 trial also met an additional exploratory endpoint with a statistically significant difference in the proportion of patients in each treatment group with a 20-point or greater improvement in patient-assessed SUDS score from baseline (Visit 2) to treatment (Visit 3). Of the fasedienol-treated patients, 35.7% demonstrated this statistically significant improvement in SUDS score, as compared to 18.6% in the placebo-treated group (p=0.020). Fasedienol was observed to be well-tolerated with no serious adverse events (</w:t>
      </w:r>
      <w:r>
        <w:rPr>
          <w:rFonts w:ascii="Times New Roman" w:cs="Times New Roman" w:eastAsia="Times New Roman" w:hAnsi="Times New Roman"/>
          <w:sz w:val="18"/>
          <w:szCs w:val="18"/>
          <w:i w:val="1"/>
          <w:iCs w:val="1"/>
          <w:color w:val="auto"/>
        </w:rPr>
        <w:t>SAE</w:t>
      </w:r>
      <w:r>
        <w:rPr>
          <w:rFonts w:ascii="Times New Roman" w:cs="Times New Roman" w:eastAsia="Times New Roman" w:hAnsi="Times New Roman"/>
          <w:sz w:val="18"/>
          <w:szCs w:val="18"/>
          <w:color w:val="auto"/>
        </w:rPr>
        <w:t>s), and the treatment-emergent adverse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event (</w:t>
      </w:r>
      <w:r>
        <w:rPr>
          <w:rFonts w:ascii="Times New Roman" w:cs="Times New Roman" w:eastAsia="Times New Roman" w:hAnsi="Times New Roman"/>
          <w:sz w:val="18"/>
          <w:szCs w:val="18"/>
          <w:i w:val="1"/>
          <w:iCs w:val="1"/>
          <w:color w:val="auto"/>
        </w:rPr>
        <w:t>TEAE</w:t>
      </w:r>
      <w:r>
        <w:rPr>
          <w:rFonts w:ascii="Times New Roman" w:cs="Times New Roman" w:eastAsia="Times New Roman" w:hAnsi="Times New Roman"/>
          <w:sz w:val="18"/>
          <w:szCs w:val="18"/>
          <w:color w:val="auto"/>
        </w:rPr>
        <w:t>) profiles were comparable between fasedienol and placebo. Overall, no TEAEs, except for pyrexia in the placebo group (2.49%), was more prevalent than 2.0%.</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complement our successful PALISADE-2 Phase 3 trial, we launched our PALISADE-3 and PALISADE-4 Phase 3 trials 2024. Like PALISADE-2, PALISADE-3 and PALISADE-4 are U.S. multi-center, randomized, double-blind, placebo-controlled Phase 3 studies designed to evaluate the efficacy, safety, and tolerability of the acute administration of fasedienol to relieve anxiety symptoms in adults with SAD after a single dose of fasedienol during a simulated, anxiety-provoking public speaking challenge conducted in a clinical setting, as measured using the patient-reported SUDS as the primary efficacy endpoint. In addition, both PALISADE-3 and PALISADE-4 have an open-label extension for a period of up to 12 months. We initiated the Repeat Dose Study in early 2025. This study is a small U.S. multi-center, randomized, double-blind, placebo-controlled, three-arm exploratory Phase 2 clinical trial designed to evaluate repeated dosing (up to two doses within ten minutes) of fasedienol in adult patients with SAD during a single, simulated, anxiety-provoking public speaking challenge in a clinical setting. The Repeat Dose Study also includes an open-label extension study for a period of up to 12 months.</w:t>
      </w:r>
    </w:p>
    <w:p>
      <w:pPr>
        <w:spacing w:after="0" w:line="1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either PALISADE-3 or PALISADE-4, if successful, together with PALISADE-2, may establish substantial evidence of the effectiveness of fasedienol in support of a potential New Drug Application (</w:t>
      </w:r>
      <w:r>
        <w:rPr>
          <w:rFonts w:ascii="Times New Roman" w:cs="Times New Roman" w:eastAsia="Times New Roman" w:hAnsi="Times New Roman"/>
          <w:sz w:val="18"/>
          <w:szCs w:val="18"/>
          <w:i w:val="1"/>
          <w:iCs w:val="1"/>
          <w:color w:val="auto"/>
        </w:rPr>
        <w:t>NDA</w:t>
      </w:r>
      <w:r>
        <w:rPr>
          <w:rFonts w:ascii="Times New Roman" w:cs="Times New Roman" w:eastAsia="Times New Roman" w:hAnsi="Times New Roman"/>
          <w:sz w:val="18"/>
          <w:szCs w:val="18"/>
          <w:color w:val="auto"/>
        </w:rPr>
        <w:t>) submission to the FDA for the acute treatment of anxiety in adults with SAD.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has granted Fast Track designation for the investigation of fasedienol for the acute treatment of SAD.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Itruvone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Major Depressive Disorder</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Depression is a serious medical condition and a global public health concern that can arise at any time during a person's life. According to the World Health Organization (</w:t>
      </w:r>
      <w:r>
        <w:rPr>
          <w:rFonts w:ascii="Times New Roman" w:cs="Times New Roman" w:eastAsia="Times New Roman" w:hAnsi="Times New Roman"/>
          <w:sz w:val="18"/>
          <w:szCs w:val="18"/>
          <w:i w:val="1"/>
          <w:iCs w:val="1"/>
          <w:color w:val="auto"/>
        </w:rPr>
        <w:t>WHO</w:t>
      </w:r>
      <w:r>
        <w:rPr>
          <w:rFonts w:ascii="Times New Roman" w:cs="Times New Roman" w:eastAsia="Times New Roman" w:hAnsi="Times New Roman"/>
          <w:sz w:val="18"/>
          <w:szCs w:val="18"/>
          <w:color w:val="auto"/>
        </w:rPr>
        <w:t>), depression is the leading cause of disability worldwide, affecting over 250 million people. Statistics reported by the U.S. National Institute of Mental Health (</w:t>
      </w:r>
      <w:r>
        <w:rPr>
          <w:rFonts w:ascii="Times New Roman" w:cs="Times New Roman" w:eastAsia="Times New Roman" w:hAnsi="Times New Roman"/>
          <w:sz w:val="18"/>
          <w:szCs w:val="18"/>
          <w:i w:val="1"/>
          <w:iCs w:val="1"/>
          <w:color w:val="auto"/>
        </w:rPr>
        <w:t>NIMH</w:t>
      </w:r>
      <w:r>
        <w:rPr>
          <w:rFonts w:ascii="Times New Roman" w:cs="Times New Roman" w:eastAsia="Times New Roman" w:hAnsi="Times New Roman"/>
          <w:sz w:val="18"/>
          <w:szCs w:val="18"/>
          <w:color w:val="auto"/>
        </w:rPr>
        <w:t>) indicate that approximately 21 million adults in the U.S., or approximately 8.4% of all adults in the U.S., experienced at least one major depressive episode in 2020. While many individuals will experience a depressed mood at some point during their lifetime, major depressive disorder (</w:t>
      </w:r>
      <w:r>
        <w:rPr>
          <w:rFonts w:ascii="Times New Roman" w:cs="Times New Roman" w:eastAsia="Times New Roman" w:hAnsi="Times New Roman"/>
          <w:sz w:val="18"/>
          <w:szCs w:val="18"/>
          <w:i w:val="1"/>
          <w:iCs w:val="1"/>
          <w:color w:val="auto"/>
        </w:rPr>
        <w:t>MDD</w:t>
      </w:r>
      <w:r>
        <w:rPr>
          <w:rFonts w:ascii="Times New Roman" w:cs="Times New Roman" w:eastAsia="Times New Roman" w:hAnsi="Times New Roman"/>
          <w:sz w:val="18"/>
          <w:szCs w:val="18"/>
          <w:color w:val="auto"/>
        </w:rPr>
        <w:t>) is different. MDD is the chronic, pervasive feeling of utter unhappiness and suffering, which impairs daily functioning. During a typical depressive episode, an individual experiences depressed mood, loss of interest and enjoyment, and reduced energy leading to diminished activity and impaired daily functioning for at least two weeks and often much longer. Symptoms of MDD can include a lack of pleasure in activities, changes in appetite resulting in weight fluctuations, insomnia or excessive sleeping, psychomotor agitation, loss of energy or increased fatigue, feelings of worthlessness or inappropriate guilt, difficulty thinking, concentrating or making decisions, and thoughts of death or suicide and attempts at suicide. MDD is the psychiatric diagnosis most commonly associated with suicide.</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many people, depression cannot be controlled for any length of time without treatment. However, approximately two out of every three people with depression do not experience adequate therapeutic benefits from their initial treatment with a standard antidepressant. Furthermore, the likelihood of achieving remission of depressive symptoms decreases with each successive treatment attempt. Even after multiple treatment attempts with current antidepressants, about one-third of individuals with depression still do not find a sufficiently effective therapy.</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Inadequate response to current treatments is among the key reasons MDD is one of the leading public health concerns in the U.S., creating a significant unmet medical need for new agents with fundamentally differentiated MOAs and differentiated safety.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Itruvone for the Treatment of Major Depressive Disorder</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Itruvone is our investigational neurocircuitry-focused non-systemic pherine product candidate with transformative potential as a stand-alone treatment of MDD. Itruvone’s potential for rapid-onset activity in nasal chemosensory receptors at a low microgram-level dose without requiring systemic absorption or direct binding on neurons in the brain to achieve antidepressant effects, and its favorable safety data observed in all studies completed to date, is fundamentally differentiated from all current pharmacological therapies for depression. Unlike other antidepressants which rely on single or double-receptor occupancy in the brain, itruvone's proposed MOA involves modulation of the nasal-limbic amygdala anhedonia and depressed mood neurocircuits. The scope of itruvone's neural circuit activation, and potential impact on the brain, appears, in studies completed to date, to be wider, faster and safer than can be achieved with current therapies targeting binding to any specific brain receptor. We believe non-systemic itruvone has the potential to treat MDD without causing the side effects and safety concerns that may be associated with currently approved systemic antidepressant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therapies, including, among others, drug-drug interactions, psychological side effects, sexual side effects, sedation, weight gain and suicidal ideation.</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In a randomized, double-blind, placebo-controlled parallel design exploratory Phase 2A clinical trial of itruvone as a stand-alone treatment for MDD (n=30), the results of which were published in the peer-reviewed </w:t>
      </w:r>
      <w:r>
        <w:rPr>
          <w:rFonts w:ascii="Times New Roman" w:cs="Times New Roman" w:eastAsia="Times New Roman" w:hAnsi="Times New Roman"/>
          <w:sz w:val="18"/>
          <w:szCs w:val="18"/>
          <w:i w:val="1"/>
          <w:iCs w:val="1"/>
          <w:color w:val="auto"/>
        </w:rPr>
        <w:t>British Journal of Pharmaceutical and Medical Research</w:t>
      </w:r>
      <w:r>
        <w:rPr>
          <w:rFonts w:ascii="Times New Roman" w:cs="Times New Roman" w:eastAsia="Times New Roman" w:hAnsi="Times New Roman"/>
          <w:sz w:val="18"/>
          <w:szCs w:val="18"/>
          <w:color w:val="auto"/>
        </w:rPr>
        <w:t>, at a 6.4 microgram dose administered intranasally twice daily for eight weeks, itruvone reduced depressive symptoms in as early as one week based on the 17-item Hamilton Depression Scale (</w:t>
      </w:r>
      <w:r>
        <w:rPr>
          <w:rFonts w:ascii="Times New Roman" w:cs="Times New Roman" w:eastAsia="Times New Roman" w:hAnsi="Times New Roman"/>
          <w:sz w:val="18"/>
          <w:szCs w:val="18"/>
          <w:i w:val="1"/>
          <w:iCs w:val="1"/>
          <w:color w:val="auto"/>
        </w:rPr>
        <w:t>HAM-D-17</w:t>
      </w:r>
      <w:r>
        <w:rPr>
          <w:rFonts w:ascii="Times New Roman" w:cs="Times New Roman" w:eastAsia="Times New Roman" w:hAnsi="Times New Roman"/>
          <w:sz w:val="18"/>
          <w:szCs w:val="18"/>
          <w:color w:val="auto"/>
        </w:rPr>
        <w:t>) scores compared to placebo (p=0.022). Itruvone was well-tolerated and did not cause psychological side effects (such as dissociation), sexual side effects, weight gain, or other safety concerns that may be associated with other approved pharmacological therapies for MDD. The trial was sponsored by Pherin Pharmaceuticals, Inc. (</w:t>
      </w:r>
      <w:r>
        <w:rPr>
          <w:rFonts w:ascii="Times New Roman" w:cs="Times New Roman" w:eastAsia="Times New Roman" w:hAnsi="Times New Roman"/>
          <w:sz w:val="18"/>
          <w:szCs w:val="18"/>
          <w:i w:val="1"/>
          <w:iCs w:val="1"/>
          <w:color w:val="auto"/>
        </w:rPr>
        <w:t>Pherin</w:t>
      </w:r>
      <w:r>
        <w:rPr>
          <w:rFonts w:ascii="Times New Roman" w:cs="Times New Roman" w:eastAsia="Times New Roman" w:hAnsi="Times New Roman"/>
          <w:sz w:val="18"/>
          <w:szCs w:val="18"/>
          <w:color w:val="auto"/>
        </w:rPr>
        <w:t>), which is now our wholly-owned subsidiary, and was conducted in Mexico prior to our acquisition of Pherin in February 2023. Positive data from our June 2023 U.S. Investigational New Drug (</w:t>
      </w:r>
      <w:r>
        <w:rPr>
          <w:rFonts w:ascii="Times New Roman" w:cs="Times New Roman" w:eastAsia="Times New Roman" w:hAnsi="Times New Roman"/>
          <w:sz w:val="18"/>
          <w:szCs w:val="18"/>
          <w:i w:val="1"/>
          <w:iCs w:val="1"/>
          <w:color w:val="auto"/>
        </w:rPr>
        <w:t>IND</w:t>
      </w:r>
      <w:r>
        <w:rPr>
          <w:rFonts w:ascii="Times New Roman" w:cs="Times New Roman" w:eastAsia="Times New Roman" w:hAnsi="Times New Roman"/>
          <w:sz w:val="18"/>
          <w:szCs w:val="18"/>
          <w:color w:val="auto"/>
        </w:rPr>
        <w:t>) enabling Phase 1 trial of itruvone demonstrated that there were no reported treatment-related SAEs or discontinuations due to adverse events in the trial. Overall, itruvone was well-tolerated and continued to demonstrate the favorable safety data in all clinical trials completed to date. As a result, building on the positive results from Phase 2A clinical development of itruvone in MDD, we are currently planning for potential U.S. Phase 2B clinical development of itruvone under our U.S. IND as a novel, non-systemic stand-alone treatment for MDD.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FDA has granted Fast Track designation for the investigation of itruvone for the treatment of MDD.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PH80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Vasomotor Symptoms (Hot Flashes) due to Menopause</w:t>
      </w:r>
    </w:p>
    <w:p>
      <w:pPr>
        <w:spacing w:after="0" w:line="17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Vasomotor symptoms (</w:t>
      </w:r>
      <w:r>
        <w:rPr>
          <w:rFonts w:ascii="Times New Roman" w:cs="Times New Roman" w:eastAsia="Times New Roman" w:hAnsi="Times New Roman"/>
          <w:sz w:val="18"/>
          <w:szCs w:val="18"/>
          <w:i w:val="1"/>
          <w:iCs w:val="1"/>
          <w:color w:val="auto"/>
        </w:rPr>
        <w:t>VMS</w:t>
      </w:r>
      <w:r>
        <w:rPr>
          <w:rFonts w:ascii="Times New Roman" w:cs="Times New Roman" w:eastAsia="Times New Roman" w:hAnsi="Times New Roman"/>
          <w:sz w:val="18"/>
          <w:szCs w:val="18"/>
          <w:color w:val="auto"/>
        </w:rPr>
        <w:t>), comprised of hot flashes and night sweats, are the most common symptoms of the menopausal transition, affecting 60% - 80% of menopausal women in the U.S., according to SWAN (Study of Women Across the Nation) and other published studies. On average, hot flashes last seven to nine years and, for up to one-third of women, can last more than 10 years. VMS can be described as a sudden, intense feeling of warmth spreading through the upper body and face, flushed appearance with red, blotchy skin, rapid heartbeat, and perspiration on the upper body. Each episode typically lasts between one and five minutes, can occur up to 30 times per day, and may be accompanied by sweating, chills, and anxiety. Although there is substantial individual variability in the frequency and severity of VMS, there is universal agreement that VMS negatively impacts physical, emotional, social, and occupational well-being, and can significantly diminish the overall quality of life and work productivity for those who experience them. VMS can cause new-onset sleep interruptions and deprivation, with night sweats commonly interrupting sleep and causing difficulty in returning to sleep. Such sleep problems are associated with reduced productivity and an increased risk of job loss for these affected individuals. VMS are also often accompanied by various comorbidities, including new onset anxiety, depression, and cognitive dysfunction, which can further exacerbate functional impairment. While there are FDA-approved therapies for the treatment of moderate to severe VMS, many women cannot take or choose not to take currently available hormonal and/or other systemic products due to contraindications and safety concerns, such as cardiovascular disorders, dementia, breast cancer, and liver toxicity. Treatment of VMS is complicated by fear of these safety risks associated with systemic hormonal therapy and the non-hormonal, neurokinin 3 receptor (</w:t>
      </w:r>
      <w:r>
        <w:rPr>
          <w:rFonts w:ascii="Times New Roman" w:cs="Times New Roman" w:eastAsia="Times New Roman" w:hAnsi="Times New Roman"/>
          <w:sz w:val="18"/>
          <w:szCs w:val="18"/>
          <w:i w:val="1"/>
          <w:iCs w:val="1"/>
          <w:color w:val="auto"/>
        </w:rPr>
        <w:t>NK3R</w:t>
      </w:r>
      <w:r>
        <w:rPr>
          <w:rFonts w:ascii="Times New Roman" w:cs="Times New Roman" w:eastAsia="Times New Roman" w:hAnsi="Times New Roman"/>
          <w:sz w:val="18"/>
          <w:szCs w:val="18"/>
          <w:color w:val="auto"/>
        </w:rPr>
        <w:t>) antagonist recently approved by the FDA.</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PH80 for the Treatment of Vasomotor Symptoms (Hot Flashes) due to Menopause</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PH80 is our investigational non-hormonal, non-systemic, neurocircuitry-focused pherine product candidate with a novel, rapid-onset proposed MOA that is fundamentally differentiated from all currently approved treatments for VMS (hot flashes) due to menopause. With more than one million U.S. women entering menopause every year according to the U.S. National Institute on Aging, we believe this population could potentially benefit from a novel, non-hormonal, non-systemic, as-needed treatment such as PH80.</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Rapid activation of peripheral nasal chemosensory neurons via self-administration of low microgram doses of PH80 modulates the nasal-limbic amygdala-hypothalamic depressed mood and thermoregulatory neurocircuits. Notably, in vitro studies show that PH80 does not engage steroid receptors; an in vivo study in mice showed no estrogenic and/or androgenic activity and no changes in weight of the uterus or seminal vesicles after intranasal administration. Additionally, an in vitro study has demonstrated that PH80 does not exert effects on receptor targets with known abuse potential, and a clinical study in human volunteers showed no detectable PH80 in blood plasma, indicating the non-systemic nature of PH80's therapeutic benefit.</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are developing PH80 as a novel, non-hormonal, non-systemic, as-needed treatment of moderate to severe VMS (hot flashes) due to menopause, and potentially additional women’s health-focused indications. A randomized, double-blind, placebo-controlled exploratory Phase 2A clinical study (n=36) of PH80 that was designed to explore the efficacy, safety, and tolerability of intranasal administration of PH80 for the management of menopausal hot flashes in women was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conducted in a real-world setting in Mexico and was sponsored by Pherin prior to our acquisition of Pherin in February 2023. In the study, PH80 (0.8 µg/50 µL) was self-administered by subjects intranasally, with two sprays in each nostril (total dose = 3.2µg) up to four times daily, as needed for four consecutive weeks. One additional dose was allowed at night if subjects were awakened by hot flashes. Through the course of the study, subjects recorded the number, severity, disruption in function, and sweating related to hot flashes. PH80 induced a significant reduction in the daily number of hot flashes compared to placebo at the end of the first week of treatment, and the improvement was maintained through each treatment week until the end of the treatment period. At baseline, subjects reported a mean daily number of hot flashes of 7.7 (PH80, n=18) and 8.0 (placebo, n=18). After one week of treatment, the number of hot flashes dropped to 2.8 (PH80) and 6.4 (placebo) (p&lt;.001), and after four weeks of treatment, the number of hot flashes dropped to 1.5 (PH80) and 5.1 (placebo) (p&lt;.001). PH80 treatment also significantly reduced the severity, disruption in function, and sweating related to hot flashes during the treatment period, as compared with placebo.</w:t>
      </w:r>
    </w:p>
    <w:p>
      <w:pPr>
        <w:spacing w:after="0" w:line="1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PH80 was well-tolerated with no SAEs, and the adverse event profiles were comparable between PH80 and placebo. All 36 subjects completed four weeks of treatment and no subject discontinued participation in the study as a result of adverse events.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currently conducting customary nonclinical manufacturing-related studies necessary to support our planned submission of our U.S. IND to facilitate further Phase 2 clinical development of PH80 in the U.S. as a novel non-hormonal, non-systemic treatment of moderate to severe VMS (hot flashes) due to menopause and potentially additional women’s health indications.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Premenstrual Dysphoric Disorder</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According to the U.S. National Institutes of Health (</w:t>
      </w:r>
      <w:r>
        <w:rPr>
          <w:rFonts w:ascii="Times New Roman" w:cs="Times New Roman" w:eastAsia="Times New Roman" w:hAnsi="Times New Roman"/>
          <w:sz w:val="18"/>
          <w:szCs w:val="18"/>
          <w:i w:val="1"/>
          <w:iCs w:val="1"/>
          <w:color w:val="auto"/>
        </w:rPr>
        <w:t>NIH</w:t>
      </w:r>
      <w:r>
        <w:rPr>
          <w:rFonts w:ascii="Times New Roman" w:cs="Times New Roman" w:eastAsia="Times New Roman" w:hAnsi="Times New Roman"/>
          <w:sz w:val="18"/>
          <w:szCs w:val="18"/>
          <w:color w:val="auto"/>
        </w:rPr>
        <w:t>), 5% to 8% of menarcheal (menstruating women) individuals have moderate-to-severe symptoms that can cause significant distress and functional impairment, suggestive of premenstrual dysphoric disorder (</w:t>
      </w:r>
      <w:r>
        <w:rPr>
          <w:rFonts w:ascii="Times New Roman" w:cs="Times New Roman" w:eastAsia="Times New Roman" w:hAnsi="Times New Roman"/>
          <w:sz w:val="18"/>
          <w:szCs w:val="18"/>
          <w:i w:val="1"/>
          <w:iCs w:val="1"/>
          <w:color w:val="auto"/>
        </w:rPr>
        <w:t>PMDD</w:t>
      </w:r>
      <w:r>
        <w:rPr>
          <w:rFonts w:ascii="Times New Roman" w:cs="Times New Roman" w:eastAsia="Times New Roman" w:hAnsi="Times New Roman"/>
          <w:sz w:val="18"/>
          <w:szCs w:val="18"/>
          <w:color w:val="auto"/>
        </w:rPr>
        <w:t>), a severe, sometimes disabling extension of premenstrual syndrome (</w:t>
      </w:r>
      <w:r>
        <w:rPr>
          <w:rFonts w:ascii="Times New Roman" w:cs="Times New Roman" w:eastAsia="Times New Roman" w:hAnsi="Times New Roman"/>
          <w:sz w:val="18"/>
          <w:szCs w:val="18"/>
          <w:i w:val="1"/>
          <w:iCs w:val="1"/>
          <w:color w:val="auto"/>
        </w:rPr>
        <w:t>PMS</w:t>
      </w:r>
      <w:r>
        <w:rPr>
          <w:rFonts w:ascii="Times New Roman" w:cs="Times New Roman" w:eastAsia="Times New Roman" w:hAnsi="Times New Roman"/>
          <w:sz w:val="18"/>
          <w:szCs w:val="18"/>
          <w:color w:val="auto"/>
        </w:rPr>
        <w:t>). PMDD symptoms usually begin in the luteal phase (approximately seven to ten days before a person’s period starts) and continue for the first few days of the period. Like PMS, PMDD can cause bloating, breast tenderness, fatigue, and changes in sleep and eating habits, but distinctively, it can also cause extreme mood shifts that can disrupt daily life and damage relationships. The cause of PMDD is not clearly understood, but it is thought that neurotransmitter systems may trigger PMDD. Brain areas that regulate emotion and behavior are studded with receptors for estrogen, progesterone, and other sex hormones. These hormones affect the functioning of neurotransmitter systems that influence mood and thinking, possibly triggering PMDD. Treatment of PMDD is aimed at preventing or minimizing symptomology.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PH80 for Premenstrual Dysphoric Disorder</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 exploratory Phase 2A clinical study of PH80 for management of the symptoms of PMDD (n=52), including negative mood and physical and behavioral symptoms, in subjects with a regular menstrual cycle and at least a one-year history of PMDD, was conducted by Pherin in a real-world setting in Mexico prior to our acquisition of Pherin in February 2023. In this randomized, double-blind, placebo-controlled exploratory Phase 2A study, PH80 demonstrated a statistically significant improvement versus placebo in management of the symptoms of PMDD, including negative mood and physical and behavioral symptoms. The initial study visit occurred after the onset of symptoms. All subjects were administered a placebo nasal spray, and those who showed no symptom improvement were eligible to return for the second visit, which occurred after the onset of symptoms during the next menstrual cycle. At the second study visit, subjects were randomized to receive a single dose of 0.9 µg PH80 nasal spray or placebo in the clinic. PH80 demonstrated statistically and clinically significant improvement versus placebo in symptoms of PMDD using the subject-rated Penn Daily Symptom Report (DSR) at Day 6 (p=0.015). PH80 also demonstrated statistically and clinically significant improvement versus placebo at Day 6 on the clinician-rated Premenstrual Tension Scale (PMTS) total score (p=0.016).</w:t>
      </w:r>
    </w:p>
    <w:p>
      <w:pPr>
        <w:spacing w:after="0" w:line="1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PH80 was well-tolerated with no SAEs. The most common TEAE was headache, reported by 17% in the placebo group and 7% in the PH80 group. No other TEAE occurred more than once per subject.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PH15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Cognitive and Psychomotor Impairment due to Mental Fatigue</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Numerous conditions and disorders, such as shift work disorder, sleep apnea, and narcolepsy, can lead to debilitating sleep deprivation and mental fatigue. The prevalence of these conditions and disorders is high. For example, moderate to severe sleep apnea affects approximately 20% of adult men and 10% of postmenopausal women. The potential consequences of mental fatigue from sleep deprivation are troubling, with higher rates of accidents and increased risk of dementia.</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Individuals affected by mental fatigue require improved treatment options with a differentiated safety profile, one without the potential for abuse liability or negative and treatment-limiting side effects and safety concerns that may lead to self-treatment and subsequent substance use disorders.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PH15 for Improvement of Cognitive and Psychomotor Impairment due to Mental Fatigue</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PH15 is our investigational pherine product candidate with a novel, rapid-onset neurocircuitry-focused proposed MOA that is differentiated from the MOA of all currently approved treatments to improve psychomotor or cognitive impairment caused by mental fatigue. PH15 is thought to target nasal receptors that modulate the nasal-entorhinal cortex area/hippocampus cognition neurocircuits, that are known to be associated with psychomotor activity and cognition, without requiring systemic absorption or direct action on neurons in the brain. PH15 has demonstrated excellent safety data in all clinical trials completed to date.</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 randomized, double-blind, placebo-controlled, crossover Phase 2A pilot study (n=10) designed to explore the efficacy, safety, and tolerability of intranasal administration of PH15 on psychomotor performance as measured by reaction time in sleep-deprived participants, PH15 demonstrated a statistically significant improvement in reaction time compared to placebo and caffeine in the sleep-deprived study participants. This study of PH15 was sponsored by Pherin and conducted at the National Institute of Psychiatry, Sleep Disorders Clinic in Mexico City, Mexico prior to our acquisition of Pherin in February 2023.</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Phase 2A pilot study, ten participants were randomly administered PH15 (multiple 1.6 µg doses, total dose of 9.6 µg), placebo (nasal spray and oral), or caffeine (single 400 mg oral dose administered one hour before the session) in sequential sleep deprivation study sessions spaced one week apart. During each sleep deprivation session, participants received blinded treatments before the start of each of four testing periods, at 6:00 p.m., 9:00 p.m., midnight, and 3:00 a.m. The participants’ reaction times to both isochronous (regular interval) and stochastic (random interval) “flash” light stimuli were computer-measured during each testing period as participants responded to the luminous stimuli. During both isochronous and stochastic reaction time tests, administration of 1.6 µg PH15 nasal spray induced a significantly faster mean reaction time compared to placebo nasal spray across all time points (p&lt;0.001). PH15 also demonstrated a statistically significant improvement in reaction time compared to oral caffeine (p&lt;0.001) for both reaction time tests during the testing periods at midnight and 3:00 a.m. when subjects were most fatigued.</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PH15 was well-tolerated in this study, with no SAEs reported. The adverse event profiles of PH15 and placebo were comparable, with brief nasal itching in one PH15-dosed participant and three placebo-dosed subjects. Participants on oral caffeine, however, experienced palpitations, euphoria, dry mouth, stomachache, and polyuria.</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currently evaluating the potential Phase 2 development path forward for PH15 and the manufacturing, nonclinical and clinical programs required to support submission of a U.S. IND to facilitate further potential Phase 2 development of PH15 in the 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PH284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Cancer Cachexia</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Cachexia, also known as wasting syndrome, is a complex metabolic syndrome that causes a gradual loss of muscle and body weight. Cachexia is associated with chronic diseases like cancer, AIDS, heart failure, chronic obstructive pulmonary disease, anorexia nervosa, multiple sclerosis, tuberculosis, and anemia. The current definition of cancer cachexia is a loss of 5% or more of body weight over the preceding six months, accompanied by any of a handful of other symptoms, including fatigue and reduced strength. According to the National Cancer Institute, cachexia is estimated to occur in up to 80% of people with advanced cancer, depending on the type of cancer and how well they respond to cancer treatment. Cachexia is thought to directly cause up to 30% of cancer deaths, often because of heart or respiratory failure related to muscle loss. Maintaining nutritional support and alleviating cachexia has the potential to improve the underlying condition of cancer. Currently, there are no effective medical interventions or approved drugs proven to alleviate cachexia.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PH284 for Cancer Cachexia</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PH284 is our investigational pherine product candidate with a novel, rapid-onset, neurocircuitry-focused proposed MOA that is fundamentally differentiated from the MOA of all current treatments for the loss of appetite associated with chronic disorders, such as cancer or heart disease. PH284 is thought to act by modulating the nasal-limbic amygdala-hypothalamic depressed mood and appetite control neurocircuits.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 double-blind, placebo-controlled exploratory Phase 2A study designed to evaluate the efficacy, safety, and tolerability of intranasal administration of PH284 in female patients diagnosed with cachexia (induced by chronic loss of appetite) due to terminal cancer (n=40), PH284 (0.4 µg/50 µL) was administered intranasally, one spray in each nostril (total daily dose = 3.2µg), four times daily before meals (breakfast, mid-morning snack, lunch, and dinner). From Day 1 through Day 4, all subjects were administered placebo 30 minutes prior to each meal. Beginning on Day 5 through Day 11 subjects were randomized in a 1:1 fashion to receive either PH284 or placebo. Patients measured Subjective Feeling of Hunger (</w:t>
      </w:r>
      <w:r>
        <w:rPr>
          <w:rFonts w:ascii="Times New Roman" w:cs="Times New Roman" w:eastAsia="Times New Roman" w:hAnsi="Times New Roman"/>
          <w:sz w:val="18"/>
          <w:szCs w:val="18"/>
          <w:i w:val="1"/>
          <w:iCs w:val="1"/>
          <w:color w:val="auto"/>
        </w:rPr>
        <w:t>SFH</w:t>
      </w:r>
      <w:r>
        <w:rPr>
          <w:rFonts w:ascii="Times New Roman" w:cs="Times New Roman" w:eastAsia="Times New Roman" w:hAnsi="Times New Roman"/>
          <w:sz w:val="18"/>
          <w:szCs w:val="18"/>
          <w:color w:val="auto"/>
        </w:rPr>
        <w:t>) ten minutes before each meal. PH284, as compared to placebo, induced a cumulative effect on mean SFH scores, with scores increasing from breakfast to lunch and lunch to dinner throughout the treatment period. Specifically, prior to dinner on Day 7 of treatment, PH284 subjects reported a 71% improvement in SFH versus baseline, while placebo subjects reported a less than 1% improvement. No unusual changes in body weight were observed in either the PH284 or placebo groups, though on average, there was a small gain in body weight for PH284 versus a small loss in placebo. PH284 demonstrated no serious adverse events, and adverse events reported for the PH284 group were similar to those reported in the placebo-treated group. All the adverse events reported were attributed to the underlying medical condition (cancer) and were not deemed to be related to the administration of PH284 or placebo. PH284 has demonstrated an excellent safety profile in all clinical trials completed to date. This study of PH284 was sponsored by Pherin and conducted at the National Institute of Oncology and National Institute of Nutrition in Mexico City, Mexico prior to our acquisition of Pherin in February 2023.</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Vistagen is currently evaluating the potential path forward for PH284, including an assessment of the manufacturing, nonclinical and clinical programs required to support a U.S. IND application for potential further Phase 2 clinical development of PH284 for the treatment of cancer cachexia or other appetite-related disorders.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AV-101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AV-101 for NMDAR-related Neurological Disorders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AV-101 (</w:t>
      </w:r>
      <w:r>
        <w:rPr>
          <w:rFonts w:ascii="Times New Roman" w:cs="Times New Roman" w:eastAsia="Times New Roman" w:hAnsi="Times New Roman"/>
          <w:sz w:val="18"/>
          <w:szCs w:val="18"/>
          <w:i w:val="1"/>
          <w:iCs w:val="1"/>
          <w:color w:val="auto"/>
        </w:rPr>
        <w:t>4-Cl-KYN</w:t>
      </w:r>
      <w:r>
        <w:rPr>
          <w:rFonts w:ascii="Times New Roman" w:cs="Times New Roman" w:eastAsia="Times New Roman" w:hAnsi="Times New Roman"/>
          <w:sz w:val="18"/>
          <w:szCs w:val="18"/>
          <w:color w:val="auto"/>
        </w:rPr>
        <w:t>) is our novel, oral prodrug candidate that targets the NMDAR (N-methyl-D-aspartate receptor), an ionotropic glutamate receptor in the brain. Abnormal NMDAR function is associated with numerous neurological diseases and disorders. The active metabolite of AV-101, 7-chloro-kynurenic acid (7-Cl-KYNA), is a potent and selective full antagonist of the glycine binding site of the NMDAR that inhibits the function of the NMDAR. Unlike ketamine and many other NMDAR antagonists, 7-Cl-KYNA is not an ion channel blocker. In clinical and nonclinical testing completed to date, AV-101 has demonstrated good oral bioavailability and an excellent pharmacokinetic (</w:t>
      </w:r>
      <w:r>
        <w:rPr>
          <w:rFonts w:ascii="Times New Roman" w:cs="Times New Roman" w:eastAsia="Times New Roman" w:hAnsi="Times New Roman"/>
          <w:sz w:val="18"/>
          <w:szCs w:val="18"/>
          <w:i w:val="1"/>
          <w:iCs w:val="1"/>
          <w:color w:val="auto"/>
        </w:rPr>
        <w:t>PK</w:t>
      </w:r>
      <w:r>
        <w:rPr>
          <w:rFonts w:ascii="Times New Roman" w:cs="Times New Roman" w:eastAsia="Times New Roman" w:hAnsi="Times New Roman"/>
          <w:sz w:val="18"/>
          <w:szCs w:val="18"/>
          <w:color w:val="auto"/>
        </w:rPr>
        <w:t>) profile. No binding of AV-101 or 7-Cl-KYNA to off-site targets was identified by an extensive receptor screening study. Moreover, in all clinical trials completed to date, AV-101 has been safe and very well-tolerated with no psychological side effects or safety concerns and no treatment-related SAEs that are often observed with classic channel-blocking NMDAR antagonists such as ketamine and amantadine. Nonclinical results also indicate that chronic administration of 4-Cl-KYN induces hippocampal neurogenesis and increases endogenous levels of KYNA, which also is a functional NMDAR glycine site antagonist.</w:t>
      </w:r>
    </w:p>
    <w:p>
      <w:pPr>
        <w:spacing w:after="0" w:line="1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observations and findings from preclinical studies, we believe AV-101 has the potential to become a new oral treatment alternative for multiple neuroscience disorders, including levodopa-induced dyskinesia (</w:t>
      </w:r>
      <w:r>
        <w:rPr>
          <w:rFonts w:ascii="Times New Roman" w:cs="Times New Roman" w:eastAsia="Times New Roman" w:hAnsi="Times New Roman"/>
          <w:sz w:val="18"/>
          <w:szCs w:val="18"/>
          <w:i w:val="1"/>
          <w:iCs w:val="1"/>
          <w:color w:val="auto"/>
        </w:rPr>
        <w:t>LID</w:t>
      </w:r>
      <w:r>
        <w:rPr>
          <w:rFonts w:ascii="Times New Roman" w:cs="Times New Roman" w:eastAsia="Times New Roman" w:hAnsi="Times New Roman"/>
          <w:sz w:val="18"/>
          <w:szCs w:val="18"/>
          <w:color w:val="auto"/>
        </w:rPr>
        <w:t>) and neuropathic pain (</w:t>
      </w:r>
      <w:r>
        <w:rPr>
          <w:rFonts w:ascii="Times New Roman" w:cs="Times New Roman" w:eastAsia="Times New Roman" w:hAnsi="Times New Roman"/>
          <w:sz w:val="18"/>
          <w:szCs w:val="18"/>
          <w:i w:val="1"/>
          <w:iCs w:val="1"/>
          <w:color w:val="auto"/>
        </w:rPr>
        <w:t>NP</w:t>
      </w:r>
      <w:r>
        <w:rPr>
          <w:rFonts w:ascii="Times New Roman" w:cs="Times New Roman" w:eastAsia="Times New Roman" w:hAnsi="Times New Roman"/>
          <w:sz w:val="18"/>
          <w:szCs w:val="18"/>
          <w:color w:val="auto"/>
        </w:rPr>
        <w:t>) potentially among others. We are currently assessing whether there is a path forward for potential collaborative clinical development and commercialization of AV-101 for one or more neurological disorders involving the NMDAR.</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FDA has granted Fast Track designation for the investigation of AV-101 for the treatment of neuropathic pain and for the adjunctive treatment of MDD.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Our wholly-owned subsidiaries consist of Pherin Pharmaceuticals, Inc, a Delaware corporation (</w:t>
      </w:r>
      <w:r>
        <w:rPr>
          <w:rFonts w:ascii="Times New Roman" w:cs="Times New Roman" w:eastAsia="Times New Roman" w:hAnsi="Times New Roman"/>
          <w:sz w:val="18"/>
          <w:szCs w:val="18"/>
          <w:i w:val="1"/>
          <w:iCs w:val="1"/>
          <w:color w:val="auto"/>
        </w:rPr>
        <w:t>Pherin</w:t>
      </w:r>
      <w:r>
        <w:rPr>
          <w:rFonts w:ascii="Times New Roman" w:cs="Times New Roman" w:eastAsia="Times New Roman" w:hAnsi="Times New Roman"/>
          <w:sz w:val="18"/>
          <w:szCs w:val="18"/>
          <w:color w:val="auto"/>
        </w:rPr>
        <w:t>), and Vistastem, Inc., a California corporation founded in 1998 (</w:t>
      </w:r>
      <w:r>
        <w:rPr>
          <w:rFonts w:ascii="Times New Roman" w:cs="Times New Roman" w:eastAsia="Times New Roman" w:hAnsi="Times New Roman"/>
          <w:sz w:val="18"/>
          <w:szCs w:val="18"/>
          <w:i w:val="1"/>
          <w:iCs w:val="1"/>
          <w:color w:val="auto"/>
        </w:rPr>
        <w:t>Vistastem</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 and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Overview</w:t>
      </w:r>
    </w:p>
    <w:p>
      <w:pPr>
        <w:spacing w:after="0" w:line="18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Since inception, we have devoted substantial resources to advancing initiatives related to research, development, and contract manufacturing of our neuroscience pipeline, including initiatives related to manufacturing processes, analytical methods and production programs for drug substance and finished drug product, as well as for preclinical studies and clinical trials focused on development and potential commercialization of our product candidates, with substantial emphasis on our lead pherine product candidates, fasedienol, itruvone, and PH80, for the acute treatment of SAD, MDD,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and VMS due to menopause, respectively, over the last several years. At the end of our fiscal year ended March 31, 2024, we launched our PALISADE-3 Phase 3 clinical trial as part of our U.S. registration-directed PALISADE Program evaluating fasedienol for the acute treatment of anxiety in adults with SAD, and during the nine months ended December 31, 2024, we initiated our PALISADE-4 Phase 3 clinical trial for the same indication, and incurred costs to plan and prepare for the initiation the Repeat Dose Study, which we initiated in January 2025. Both the PALISADE-4 Phase 3 trial and the Repeat Dose Study are also parts of our PALISADE Program for fasedienol in SAD. In addition, we are continuing to conduct various nonclinical studies and contract manufacturing activities involving other clinical-stage pherine product candidates in our neuroscience pipeline. We also have ongoing initiatives for creating, protecting and patenting intellectual property (</w:t>
      </w:r>
      <w:r>
        <w:rPr>
          <w:rFonts w:ascii="Times New Roman" w:cs="Times New Roman" w:eastAsia="Times New Roman" w:hAnsi="Times New Roman"/>
          <w:sz w:val="18"/>
          <w:szCs w:val="18"/>
          <w:i w:val="1"/>
          <w:iCs w:val="1"/>
          <w:color w:val="auto"/>
        </w:rPr>
        <w:t>IP</w:t>
      </w:r>
      <w:r>
        <w:rPr>
          <w:rFonts w:ascii="Times New Roman" w:cs="Times New Roman" w:eastAsia="Times New Roman" w:hAnsi="Times New Roman"/>
          <w:sz w:val="18"/>
          <w:szCs w:val="18"/>
          <w:color w:val="auto"/>
        </w:rPr>
        <w:t>) related to our neuroscience product candidates and technologies.</w:t>
      </w:r>
    </w:p>
    <w:p>
      <w:pPr>
        <w:spacing w:after="0" w:line="1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At June 30, 2025, we had an accumulated deficit of approximately $422.7 million. Our net loss for the year ended March 31, 2025 (</w:t>
      </w:r>
      <w:r>
        <w:rPr>
          <w:rFonts w:ascii="Times New Roman" w:cs="Times New Roman" w:eastAsia="Times New Roman" w:hAnsi="Times New Roman"/>
          <w:sz w:val="18"/>
          <w:szCs w:val="18"/>
          <w:i w:val="1"/>
          <w:iCs w:val="1"/>
          <w:color w:val="auto"/>
        </w:rPr>
        <w:t>Fiscal 2025</w:t>
      </w:r>
      <w:r>
        <w:rPr>
          <w:rFonts w:ascii="Times New Roman" w:cs="Times New Roman" w:eastAsia="Times New Roman" w:hAnsi="Times New Roman"/>
          <w:sz w:val="18"/>
          <w:szCs w:val="18"/>
          <w:color w:val="auto"/>
        </w:rPr>
        <w:t>) and the year ended March 31, 2024 (</w:t>
      </w:r>
      <w:r>
        <w:rPr>
          <w:rFonts w:ascii="Times New Roman" w:cs="Times New Roman" w:eastAsia="Times New Roman" w:hAnsi="Times New Roman"/>
          <w:sz w:val="18"/>
          <w:szCs w:val="18"/>
          <w:i w:val="1"/>
          <w:iCs w:val="1"/>
          <w:color w:val="auto"/>
        </w:rPr>
        <w:t>Fiscal 2024</w:t>
      </w:r>
      <w:r>
        <w:rPr>
          <w:rFonts w:ascii="Times New Roman" w:cs="Times New Roman" w:eastAsia="Times New Roman" w:hAnsi="Times New Roman"/>
          <w:sz w:val="18"/>
          <w:szCs w:val="18"/>
          <w:color w:val="auto"/>
        </w:rPr>
        <w:t>) was approximately $51.4 million and $29.4 million, respectively, and we incurred a net loss of approximately $15.1 million for the three months ended June 30, 2025. We expect losses to continue for the foreseeable future as we engage in further research, clinical and nonclinical development, contract manufacturing and regulatory activities related to fasedienol, itruvone, PH80 and our other pherine product candidates. We have not yet achieved revenue-generating status from any of our product candidates or technologies in amounts sufficient to sustain our operations and enable our strategic business plans.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Sublicense and Other Revenue</w:t>
      </w:r>
    </w:p>
    <w:p>
      <w:pPr>
        <w:spacing w:after="0" w:line="2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Sublicense and other revenue consist of revenue recognized under the AffaMed Agreement and Negotiation Agreement with Fuji Pharma. Revenue is recognized as identified performance obligations are satisfied.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 date, our research and development expense has consisted primarily of external and internal costs related to the development of our product candidates and development programs. Our research and development expense primarily includes: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•External costs, including:</w:t>
      </w:r>
    </w:p>
    <w:p>
      <w:pPr>
        <w:spacing w:after="0" w:line="252" w:lineRule="exact"/>
        <w:rPr>
          <w:sz w:val="20"/>
          <w:szCs w:val="20"/>
          <w:color w:val="auto"/>
        </w:rPr>
      </w:pPr>
    </w:p>
    <w:p>
      <w:pPr>
        <w:jc w:val="both"/>
        <w:ind w:left="1300" w:firstLine="4"/>
        <w:spacing w:after="0" w:line="250" w:lineRule="auto"/>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planning, preparing for and conducting clinical trials, including investigator grants and site payments, and pass-through expenses and expenses incurred under agreements with CROs, central laboratories and other vendors and service providers engaged to conduct our trials;</w:t>
      </w:r>
    </w:p>
    <w:p>
      <w:pPr>
        <w:spacing w:after="0" w:line="217" w:lineRule="exact"/>
        <w:rPr>
          <w:sz w:val="20"/>
          <w:szCs w:val="20"/>
          <w:color w:val="auto"/>
        </w:rPr>
      </w:pPr>
    </w:p>
    <w:p>
      <w:pPr>
        <w:ind w:left="1300" w:right="20"/>
        <w:spacing w:after="0" w:line="266" w:lineRule="auto"/>
        <w:rPr>
          <w:sz w:val="20"/>
          <w:szCs w:val="20"/>
          <w:color w:val="auto"/>
        </w:rPr>
      </w:pPr>
      <w:r>
        <w:rPr>
          <w:rFonts w:ascii="Times New Roman" w:cs="Times New Roman" w:eastAsia="Times New Roman" w:hAnsi="Times New Roman"/>
          <w:sz w:val="18"/>
          <w:szCs w:val="18"/>
          <w:color w:val="auto"/>
        </w:rPr>
        <w:t>◦expenses incurred in connection with the discovery and preclinical development of our product candidates, including under agreements with third parties, such as consultants and CROs;</w:t>
      </w:r>
    </w:p>
    <w:p>
      <w:pPr>
        <w:spacing w:after="0" w:line="187" w:lineRule="exact"/>
        <w:rPr>
          <w:sz w:val="20"/>
          <w:szCs w:val="20"/>
          <w:color w:val="auto"/>
        </w:rPr>
      </w:pPr>
    </w:p>
    <w:p>
      <w:pPr>
        <w:ind w:left="1300" w:firstLine="4"/>
        <w:spacing w:after="0" w:line="284" w:lineRule="auto"/>
        <w:tabs>
          <w:tab w:leader="none" w:pos="140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consultants for chemistry, manufacturing, and control (</w:t>
      </w:r>
      <w:r>
        <w:rPr>
          <w:rFonts w:ascii="Times New Roman" w:cs="Times New Roman" w:eastAsia="Times New Roman" w:hAnsi="Times New Roman"/>
          <w:sz w:val="18"/>
          <w:szCs w:val="18"/>
          <w:i w:val="1"/>
          <w:iCs w:val="1"/>
          <w:color w:val="auto"/>
        </w:rPr>
        <w:t>CMC</w:t>
      </w:r>
      <w:r>
        <w:rPr>
          <w:rFonts w:ascii="Times New Roman" w:cs="Times New Roman" w:eastAsia="Times New Roman" w:hAnsi="Times New Roman"/>
          <w:sz w:val="18"/>
          <w:szCs w:val="18"/>
          <w:color w:val="auto"/>
        </w:rPr>
        <w:t>) development, and other manufacturing-related services;</w:t>
      </w:r>
    </w:p>
    <w:p>
      <w:pPr>
        <w:spacing w:after="0" w:line="174" w:lineRule="exact"/>
        <w:rPr>
          <w:sz w:val="20"/>
          <w:szCs w:val="20"/>
          <w:color w:val="auto"/>
        </w:rPr>
      </w:pPr>
    </w:p>
    <w:p>
      <w:pPr>
        <w:ind w:left="1300"/>
        <w:spacing w:after="0" w:line="266" w:lineRule="auto"/>
        <w:rPr>
          <w:sz w:val="20"/>
          <w:szCs w:val="20"/>
          <w:color w:val="auto"/>
        </w:rPr>
      </w:pPr>
      <w:r>
        <w:rPr>
          <w:rFonts w:ascii="Times New Roman" w:cs="Times New Roman" w:eastAsia="Times New Roman" w:hAnsi="Times New Roman"/>
          <w:sz w:val="18"/>
          <w:szCs w:val="18"/>
          <w:color w:val="auto"/>
        </w:rPr>
        <w:t>◦the cost of manufacturing compounds for use in our nonclinical studies and clinical trials, including under agreements with third parties, such as consultants and third-party contract manufacturers; and</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◦costs related to compliance with development regulatory requirements.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•Internal costs, including:</w:t>
      </w:r>
    </w:p>
    <w:p>
      <w:pPr>
        <w:spacing w:after="0" w:line="239"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◦employee-related expenses, including salaries, related benefits, travel and share-based compensation expenses for employees engaged in research and development functions;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costs of laboratory supplies and acquiring and developing preclinical study materials; and</w:t>
      </w:r>
    </w:p>
    <w:p>
      <w:pPr>
        <w:spacing w:after="0" w:line="2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◦facilities, depreciation and other expenses, which include allocated expenses for rent and maintenance of facilities, and supplies.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expense research and development costs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There are numerous factors associated with the successful development of any of our product candidates,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development generally have higher development costs than those in earlier stages of development.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research and development expenses may vary significantly based on a wide variety of factors, such as: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and scope, rate of progress, expense and results of our preclinical development activities and clinical trials;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of trials required for regulatory approval;</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of sites included in each of our clinical trials;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length of time required to enroll eligible patients;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of patients that participate in the trials;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ability to identify appropriate patients eligible for our clinical trials;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of doses that patients receive during such clinical trials;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drop-out or discontinuation rates of patients;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phase of development of the product candidate;</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efficacy and safety profile of the product candidate;</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timing, receipt, and terms of any approvals from applicable regulatory authorities including the FDA and non-U.S. regulators;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•maintaining a continued acceptable safety profile of our product candidates following approval, if any;</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cost and timing of manufacturing our product candidates;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and changing government regulation and regulatory guidance;</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impact of any business interruptions to our operations or to those of the third parties with whom we work;</w:t>
      </w:r>
    </w:p>
    <w:p>
      <w:pPr>
        <w:spacing w:after="0" w:line="23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•adverse effects on the financial markets, the global economy, the supply chain and our expenses due to pandemics or other epidemic diseases, geopolitical instability, inflation, rising interest rates and other factors; and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extent to which we establish additional strategic collaborations or other arrangements.</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could significantly change the costs and timing associated with the development of that product candidate. The process of conducting the necessary preclinical and clinical research and development to obtain regulatory approval is costly and time-consuming. The actual probability of success for our product candidates or any future candidates may be affected by a variety of factors. We may never succeed in achieving regulatory approval for any of our product candidates or any future candidates.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of salaries, bonuses, related benefits and stock-based compensation expense for personnel in executive, legal, finance and administrative functions; professional fees for legal, consulting, accounting and audit services; and travel expenses, technology costs and other allocated expenses. We expense general and administrative expenses in the periods in which they are incurred.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June 30, 2025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three months ended June 30, 2025 and 2024 (in thousands):</w:t>
      </w:r>
    </w:p>
    <w:p>
      <w:pPr>
        <w:spacing w:after="0" w:line="235"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21590</wp:posOffset>
            </wp:positionV>
            <wp:extent cx="23571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3" w:lineRule="exact"/>
        <w:rPr>
          <w:sz w:val="20"/>
          <w:szCs w:val="20"/>
          <w:color w:val="auto"/>
        </w:rPr>
      </w:pPr>
    </w:p>
    <w:tbl>
      <w:tblPr>
        <w:tblLayout w:type="fixed"/>
        <w:tblInd w:w="540" w:type="dxa"/>
        <w:tblCellMar>
          <w:top w:w="0" w:type="dxa"/>
          <w:left w:w="0" w:type="dxa"/>
          <w:bottom w:w="0" w:type="dxa"/>
          <w:right w:w="0" w:type="dxa"/>
        </w:tblCellMar>
      </w:tblPr>
      <w:tr>
        <w:trPr>
          <w:trHeight w:val="245"/>
        </w:trPr>
        <w:tc>
          <w:tcPr>
            <w:tcW w:w="648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43"/>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50"/>
        </w:trPr>
        <w:tc>
          <w:tcPr>
            <w:tcW w:w="6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Sublicense and other revenue</w:t>
            </w: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3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57"/>
        </w:trPr>
        <w:tc>
          <w:tcPr>
            <w:tcW w:w="6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revenues</w:t>
            </w:r>
          </w:p>
        </w:tc>
        <w:tc>
          <w:tcPr>
            <w:tcW w:w="10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3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63"/>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11,678</w:t>
            </w:r>
          </w:p>
        </w:tc>
        <w:tc>
          <w:tcPr>
            <w:tcW w:w="3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w:t>
            </w:r>
          </w:p>
        </w:tc>
      </w:tr>
      <w:tr>
        <w:trPr>
          <w:trHeight w:val="250"/>
        </w:trPr>
        <w:tc>
          <w:tcPr>
            <w:tcW w:w="6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3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4,567</w:t>
            </w:r>
          </w:p>
        </w:tc>
      </w:tr>
      <w:tr>
        <w:trPr>
          <w:trHeight w:val="250"/>
        </w:trPr>
        <w:tc>
          <w:tcPr>
            <w:tcW w:w="6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16,048</w:t>
            </w:r>
          </w:p>
        </w:tc>
        <w:tc>
          <w:tcPr>
            <w:tcW w:w="3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12,215</w:t>
            </w:r>
          </w:p>
        </w:tc>
      </w:tr>
      <w:tr>
        <w:trPr>
          <w:trHeight w:val="25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(15,804)</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(12,131)</w:t>
            </w:r>
          </w:p>
        </w:tc>
      </w:tr>
      <w:tr>
        <w:trPr>
          <w:trHeight w:val="263"/>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50"/>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r>
      <w:tr>
        <w:trPr>
          <w:trHeight w:val="257"/>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w:t>
            </w:r>
          </w:p>
        </w:tc>
        <w:tc>
          <w:tcPr>
            <w:tcW w:w="10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(15,095)</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(10,733)</w:t>
            </w:r>
          </w:p>
        </w:tc>
      </w:tr>
      <w:tr>
        <w:trPr>
          <w:trHeight w:val="257"/>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(15,095)</w:t>
            </w:r>
          </w:p>
        </w:tc>
        <w:tc>
          <w:tcPr>
            <w:tcW w:w="3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(10,733)</w:t>
            </w:r>
          </w:p>
        </w:tc>
      </w:tr>
      <w:tr>
        <w:trPr>
          <w:trHeight w:val="20"/>
        </w:trPr>
        <w:tc>
          <w:tcPr>
            <w:tcW w:w="64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recognized $0.2 million in sublicense and other revenue for the three months ended June 30, 2025, as compared to $0.1 million for the three months ended June 30, 2024, respectively. The increase in sublicense and other revenue of $0.1 million is due to timing of revenue recognized under the AffaMed Agreement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Absent the achievement of milestones under the AffaMed Agreement, or the execution of similar agreements in the future, if any, we expect sublicense and other revenue to stay consistent in future periods as we continue to recognize revenue under the AffaMed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 for the three months ended June 30, 2025 and 2024 (in thousands):</w:t>
      </w:r>
    </w:p>
    <w:p>
      <w:pPr>
        <w:spacing w:after="0" w:line="214"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0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13335</wp:posOffset>
            </wp:positionV>
            <wp:extent cx="17399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19" w:lineRule="exact"/>
        <w:rPr>
          <w:sz w:val="20"/>
          <w:szCs w:val="20"/>
          <w:color w:val="auto"/>
        </w:rPr>
      </w:pPr>
    </w:p>
    <w:tbl>
      <w:tblPr>
        <w:tblLayout w:type="fixed"/>
        <w:tblInd w:w="720" w:type="dxa"/>
        <w:tblCellMar>
          <w:top w:w="0" w:type="dxa"/>
          <w:left w:w="0" w:type="dxa"/>
          <w:bottom w:w="0" w:type="dxa"/>
          <w:right w:w="0" w:type="dxa"/>
        </w:tblCellMar>
      </w:tblPr>
      <w:tr>
        <w:trPr>
          <w:trHeight w:val="245"/>
        </w:trPr>
        <w:tc>
          <w:tcPr>
            <w:tcW w:w="70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and nonclinical studies and development expense by program</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Fasedienol</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2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w:t>
            </w:r>
          </w:p>
        </w:tc>
      </w:tr>
      <w:tr>
        <w:trPr>
          <w:trHeight w:val="229"/>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All other</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23"/>
        </w:trPr>
        <w:tc>
          <w:tcPr>
            <w:tcW w:w="7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clinical and nonclinical studies and development expense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2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benefits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29"/>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Occupancy and all other costs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11,678</w:t>
            </w: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was $11.7 million for the three months ended June 30, 2025, as compared to $7.6 million for the three months ended June 30, 2024. The increase of $4.1 million in research and development expense for the three months ended June 30, 2025 as compared to the same period in Fiscal 2024 was primarily due to an increase in expense of $4.0 million related to our U.S. registration-directed PALISADE Program for fasedienol for the acute treatment of SAD, and an increase of $0.2 million in connection with the increased headcount, partially offset by a decrease in stock-based compensation expense.</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that our research and development expense may increase over the next fiscal year as we continue to advance our pherine product candidates through nonclinical studies, clinical trials, and expand third-party contract manufacturing and regulatory activities required to advance further research and development of our current pherine product candidates and potentially, additional pherine product candidates, maintain, expand, protect and enforce our intellectual property portfolio, and hire additional headcount. At this time, we cannot accurately estimate or know the nature, timing and costs of the efforts that will be necessary to complete the nonclinical and clinical development of any pherine product candidates we may develop. A change in the outcome of any number of variables with respect to product candidates we may develop could significantly change the costs and timing associated with the development of that product candidate.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was $4.4 million for the three months ended June 30, 2025, as compared to $4.6 million for the three months ended June 30, 2024, respectively.</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expect that our general and administrative expense may increase substantially over the next fiscal year as we hire additional personnel to support the continued growth of our research and development, contract manufacturing and pre-commercialization operations and incur additional expenses associated with being a public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income, net, decreased for the three months ended June 30, 2025 as compared to the same period in Fiscal 2024 due to a decrease in amounts invested in connection with a decrease in amounts invested in interest bearing securities.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and negative cash flows from our operations. To date, as of June 30, 2025, we have financed our operations and technology acquisitions primarily through the issuance and sale of our equity securities for cash proceeds of approximately $342.2 million, as well as from an aggregate of approximately $22.7 million of government research grant awards (excluding the fair market value of government-sponsored and funded clinical trials), strategic collaboration payments, intellectual property licensing payments, and other revenues. Additionally, we have issued equity securities with an approximate value at issuance of $41.3 million for non-cash acquisitions of product licenses, the Pherin Acquisition, and in settlements of certain liabilities, including liabilities for professional services rendered to us or as compensation for such services.</w:t>
      </w:r>
    </w:p>
    <w:p>
      <w:pPr>
        <w:spacing w:after="0" w:line="14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In addition, we received net proceeds of approximately $93.5 million from an underwritten public offering of our securities in October 2023 (</w:t>
      </w:r>
      <w:r>
        <w:rPr>
          <w:rFonts w:ascii="Times New Roman" w:cs="Times New Roman" w:eastAsia="Times New Roman" w:hAnsi="Times New Roman"/>
          <w:sz w:val="18"/>
          <w:szCs w:val="18"/>
          <w:i w:val="1"/>
          <w:iCs w:val="1"/>
          <w:color w:val="auto"/>
        </w:rPr>
        <w:t>October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Public Offering</w:t>
      </w:r>
      <w:r>
        <w:rPr>
          <w:rFonts w:ascii="Times New Roman" w:cs="Times New Roman" w:eastAsia="Times New Roman" w:hAnsi="Times New Roman"/>
          <w:sz w:val="18"/>
          <w:szCs w:val="18"/>
          <w:color w:val="auto"/>
        </w:rPr>
        <w:t>), and $1.5 million in connection with the execution of the Exclusive Negotiation Agreement with Fuji Pharma Co., Ltd. in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w:t>
      </w:r>
    </w:p>
    <w:p>
      <w:pPr>
        <w:spacing w:after="0" w:line="3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May 2021, we entered into an Open Market Sale Agreement (the </w:t>
      </w:r>
      <w:r>
        <w:rPr>
          <w:rFonts w:ascii="Times New Roman" w:cs="Times New Roman" w:eastAsia="Times New Roman" w:hAnsi="Times New Roman"/>
          <w:sz w:val="18"/>
          <w:szCs w:val="18"/>
          <w:i w:val="1"/>
          <w:iCs w:val="1"/>
          <w:color w:val="auto"/>
        </w:rPr>
        <w:t>Sales Agreement</w:t>
      </w:r>
      <w:r>
        <w:rPr>
          <w:rFonts w:ascii="Times New Roman" w:cs="Times New Roman" w:eastAsia="Times New Roman" w:hAnsi="Times New Roman"/>
          <w:sz w:val="18"/>
          <w:szCs w:val="18"/>
          <w:color w:val="auto"/>
        </w:rPr>
        <w:t>) with Jefferies LLC (</w:t>
      </w:r>
      <w:r>
        <w:rPr>
          <w:rFonts w:ascii="Times New Roman" w:cs="Times New Roman" w:eastAsia="Times New Roman" w:hAnsi="Times New Roman"/>
          <w:sz w:val="18"/>
          <w:szCs w:val="18"/>
          <w:i w:val="1"/>
          <w:iCs w:val="1"/>
          <w:color w:val="auto"/>
        </w:rPr>
        <w:t>Jefferies</w:t>
      </w:r>
      <w:r>
        <w:rPr>
          <w:rFonts w:ascii="Times New Roman" w:cs="Times New Roman" w:eastAsia="Times New Roman" w:hAnsi="Times New Roman"/>
          <w:sz w:val="18"/>
          <w:szCs w:val="18"/>
          <w:color w:val="auto"/>
        </w:rPr>
        <w:t>) as sales agent, with respect to an at-the-market offering program, under which we were permitted, at our option, to offer and sell, from time to time, shares of our common stock having an aggregate offering price of up to $75.0 million. In February 2024, the aggregate offering price available under the Sales Agreement was increased to up to $100 million, and in June 2025, the aggregate offering price available under the Sales Agreement was increased to up to $175 million. During the three months ended June 30, 2025 we sold an aggregate of 190,067 shares under the Sales Agreement, for net proceeds of $0.4 million. We did not sell any shares under the Sales Agreement, during the three months ended June 30, 2024.</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2025 we had cash, cash equivalents, and marketable securities of approximately $63.2 million. As of August 7, 2025, the issuance date of the condensed consolidated financial statements in this Quarterly Report as of and for the three months ended June 30, 2025, there is uncertainty about whether our combined cash, cash equivalents, and marketable securities will be sufficient to fund operations beyond twelve months from the issuance date of these condensed consolidated financial statements and therefore we concluded that substantial doubt existed about our ability to continue as a going concern.</w:t>
      </w:r>
    </w:p>
    <w:p>
      <w:pPr>
        <w:spacing w:after="0" w:line="17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When necessary and/or advantageous, we will seek additional capital to fund our planned operations through (i) sales of our equity and/or debt securities in one or more public offerings and/or private placements, including sales of our securities under the Sales Agreement, (ii) non-dilutive government grants and research awards and/or (iii) non-dilutive strategic partnering collaborations to advance development and commercialization of one or more of our product candidates. However, no assurance can be provided that any such sales of our securities, awards, agreements or collaborations will occur in the future. While we may make additional sales of our equity securities, we do not have an obligation to do so.</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future working capital requirements will depend on many factors, including, without limitation, potential impacts related to adjustments in the size of our staff, the scope and nature of opportunities related to our success or failure and the success or failure of certain other companies in nonclinical and clinical trials, including the development and commercialization of our current product candidates, and the availability of, and our ability to enter into financing transactions and research, development and commercialization collaborations on terms acceptable to us. In the future, to further advance the clinical development of our product candidates, as well as support our operating activities, we plan to seek additional financing, including both equity-based and/or debt-based capital and potentially from non-dilutive sources other than debt-based capital, and continue to carefully manage our operating costs, including, but not limited to, our clinical, nonclinical, and pre-commercialization programs.</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Notwithstanding the foregoing, there can be no assurance that future financings will be available to us in sufficient amounts, in a timely manner, or on terms acceptable to us, if at all, or that any current or future development and commercialization collaborations will generate revenue from future potential milestone payments or otherwise.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changes in cash and cash equivalents for the periods stated (in thousands):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29"/>
        </w:trPr>
        <w:tc>
          <w:tcPr>
            <w:tcW w:w="6800" w:type="dxa"/>
            <w:vAlign w:val="bottom"/>
          </w:tcPr>
          <w:p>
            <w:pPr>
              <w:spacing w:after="0"/>
              <w:rPr>
                <w:sz w:val="19"/>
                <w:szCs w:val="19"/>
                <w:color w:val="auto"/>
              </w:rPr>
            </w:pPr>
          </w:p>
        </w:tc>
        <w:tc>
          <w:tcPr>
            <w:tcW w:w="3460" w:type="dxa"/>
            <w:vAlign w:val="bottom"/>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38"/>
        </w:trPr>
        <w:tc>
          <w:tcPr>
            <w:tcW w:w="68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(10,869)</w:t>
            </w:r>
          </w:p>
        </w:tc>
      </w:tr>
      <w:tr>
        <w:trPr>
          <w:trHeight w:val="25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w:t>
            </w:r>
          </w:p>
        </w:tc>
      </w:tr>
      <w:tr>
        <w:trPr>
          <w:trHeight w:val="257"/>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50"/>
        </w:trPr>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(16,248)</w:t>
            </w:r>
          </w:p>
        </w:tc>
      </w:tr>
      <w:tr>
        <w:trPr>
          <w:trHeight w:val="257"/>
        </w:trPr>
        <w:tc>
          <w:tcPr>
            <w:tcW w:w="6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67,131</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119,166</w:t>
            </w:r>
          </w:p>
        </w:tc>
      </w:tr>
      <w:tr>
        <w:trPr>
          <w:trHeight w:val="257"/>
        </w:trPr>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48,985</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102,918</w:t>
            </w:r>
          </w:p>
        </w:tc>
      </w:tr>
      <w:tr>
        <w:trPr>
          <w:trHeight w:val="20"/>
        </w:trPr>
        <w:tc>
          <w:tcPr>
            <w:tcW w:w="6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June 30, 2025 was $18.8 million, consisting primarily of our net loss of $15.1 million, adjusted for $1.0 million of non-cash charges primarily related to stock-based compensation expense and amortization of our operating lease right-of-use asset, and $4.7 million in net changes in operating assets and liabilities.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June 30, 2024 was $10.9 million, consisting primarily of our net loss of $10.7 million, adjusted for $1.3 million of non-cash charges primarily related to stock-based compensation expense and amortization of our operating lease right-of-use asset, and $1.4 million in net changes in operating assets and liabilities.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June 30, 2025 was $0.8 million, consisting of purchases of marketable securities and property and equipment, partially offset by the sale and maturity of marketable securities.</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June 30, 2024 was $5.5 million, consisting of purchases of marketable securities and property and equipment.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June 30, 2025 was $1.5 million, consisting primarily of net proceeds from the sale of common stock in at-the-market transactions under the Sales Agreement of $0.4 million, and proceeds from the issued note payable related to the insurance premium financing arrangement of $1.0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 during the three months ended June 30, 2024 was immaterial.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other material changes in our contractual obligations and commitments during the three months ended June 30, 2025, from those described under the heading “Management’s Discussion and Analysis of Financial Condition and Results of Operations—Contractual Obligations and Commitments” in our Annual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during the three months ended June 30, 2025, as compared to the critical accounting policies and estimates disclosed in “Management’s Discussion and Analysis of Financial Condition and Results of Operations” included in our Annual Report.</w:t>
      </w:r>
    </w:p>
    <w:p>
      <w:pPr>
        <w:spacing w:after="0" w:line="1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are a smaller reporting company, as defined by Rule 12b-2 under the Securities and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and in Item 10(f)(1) of Regulation S-K and are not required to provide the information under this item.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Chief Financial Officer (principal financial officer), evaluated the effectiveness of our disclosure controls and procedures as of June 30, 2025. The term “disclosure controls and procedures” as defined in Rule 13a-15(e) of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2025, our Chief Executive Officer and Chief Financial Officer concluded that, as of such date, our disclosure controls and procedures were effective at the reasonable assurance level.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 13a-15(f) of the Exchange Act) from that described in our Annual Report that occurred during the quarter ended June 30, 2025, to which this Report relates, that has materially affected, or is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February 13, 2025, John Cesario and David Preka (the </w:t>
      </w:r>
      <w:r>
        <w:rPr>
          <w:rFonts w:ascii="Times New Roman" w:cs="Times New Roman" w:eastAsia="Times New Roman" w:hAnsi="Times New Roman"/>
          <w:sz w:val="18"/>
          <w:szCs w:val="18"/>
          <w:i w:val="1"/>
          <w:iCs w:val="1"/>
          <w:color w:val="auto"/>
        </w:rPr>
        <w:t>Plaintiffs</w:t>
      </w:r>
      <w:r>
        <w:rPr>
          <w:rFonts w:ascii="Times New Roman" w:cs="Times New Roman" w:eastAsia="Times New Roman" w:hAnsi="Times New Roman"/>
          <w:sz w:val="18"/>
          <w:szCs w:val="18"/>
          <w:color w:val="auto"/>
        </w:rPr>
        <w:t xml:space="preserve">) filed a civil action, </w:t>
      </w:r>
      <w:r>
        <w:rPr>
          <w:rFonts w:ascii="Times New Roman" w:cs="Times New Roman" w:eastAsia="Times New Roman" w:hAnsi="Times New Roman"/>
          <w:sz w:val="18"/>
          <w:szCs w:val="18"/>
          <w:i w:val="1"/>
          <w:iCs w:val="1"/>
          <w:color w:val="auto"/>
        </w:rPr>
        <w:t>pro se</w:t>
      </w:r>
      <w:r>
        <w:rPr>
          <w:rFonts w:ascii="Times New Roman" w:cs="Times New Roman" w:eastAsia="Times New Roman" w:hAnsi="Times New Roman"/>
          <w:sz w:val="18"/>
          <w:szCs w:val="18"/>
          <w:color w:val="auto"/>
        </w:rPr>
        <w:t xml:space="preserve"> (i.e., acting on their own behalf rather than through an attorney), in the United States District Court for the Northern District of California (Case No. 4:25-cv-01510) (the </w:t>
      </w:r>
      <w:r>
        <w:rPr>
          <w:rFonts w:ascii="Times New Roman" w:cs="Times New Roman" w:eastAsia="Times New Roman" w:hAnsi="Times New Roman"/>
          <w:sz w:val="18"/>
          <w:szCs w:val="18"/>
          <w:i w:val="1"/>
          <w:iCs w:val="1"/>
          <w:color w:val="auto"/>
        </w:rPr>
        <w:t>Complaint</w:t>
      </w:r>
      <w:r>
        <w:rPr>
          <w:rFonts w:ascii="Times New Roman" w:cs="Times New Roman" w:eastAsia="Times New Roman" w:hAnsi="Times New Roman"/>
          <w:sz w:val="18"/>
          <w:szCs w:val="18"/>
          <w:color w:val="auto"/>
        </w:rPr>
        <w:t>) against the Company and its Board, certain of its executive officers, professional services and financial advisors, and industry analysts. The Plaintiffs seek compensatory and punitive damages, as well as fees and costs. The Complaint alleges violations of Section 10(b) of the Securities Exchange Act of 1934, as amended, and Rule 10b-5 promulgated thereunder, and Sections 11 and 17(a) of the Securities Act of 1933, as amended, along with other causes of action. The Plaintiffs allege, among other things, that the Company, and certain of its executive officers, made misleading statements and material omissions in various public disclosures concerning clinical trials for certain of the Company’s product candidates, which they allege caused plaintiffs to incur compensable losses. The Complaint also alleges that the Board, certain of the Company’s professional and financial advisors, and industry analysts aided and abetted the alleged wrongful conduct. The Company believes all allegations asserted in the Complaint are wholly without merit, and intends to defend them vigorously.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risks and uncertainties described below, together with the other information in this Report, including our Condensed Consolidated Financial Statements and the related notes included in this Report and in the section titled “Management’s Discussion and Analysis of Financial Condition and Results of Operations,” before deciding whether to invest in our securities.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Unless otherwise indicated, reference in this section and elsewhere in this Report to our business being adversely affected, negatively impacted or harmed will include an adverse effect on, or a negative impact or harm to, the business, reputation, financial condition, results of operations, revenue and our future prospects. The material and other risks and uncertainties summarized elsewhere in this Report and described below are not intended to be exhaustive and are not the only ones we face. Additional risks and uncertainties not presently known to us, or that we currently deem immaterial, may also impair our business operations. This Report also contains forward-looking statements that involve risks and uncertainties. Our actual results could differ materially from those anticipated in the forward-looking statements as a result of a number of factors, including the risks described below. See the section titled “Cautionary Note Regarding Forward-Looking Statements.”</w:t>
      </w:r>
    </w:p>
    <w:p>
      <w:pPr>
        <w:spacing w:after="0" w:line="203" w:lineRule="exact"/>
        <w:rPr>
          <w:sz w:val="20"/>
          <w:szCs w:val="20"/>
          <w:color w:val="auto"/>
        </w:rPr>
      </w:pPr>
    </w:p>
    <w:p>
      <w:pPr>
        <w:jc w:val="both"/>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of ongoing or future nonclinical or clinical trials of our product candidates, or material delays in the completion and/or commencement of our ongoing or planned nonclinical or clinical trials, could result in increased costs to us and could delay, prevent or limit our ability to generate revenue and continue our business;</w:t>
      </w:r>
    </w:p>
    <w:p>
      <w:pPr>
        <w:spacing w:after="0" w:line="2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inception, and we will continue to incur substantial operating losses for the foreseeable future;</w:t>
      </w:r>
    </w:p>
    <w:p>
      <w:pPr>
        <w:spacing w:after="0" w:line="25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with no approved products or revenues from product sales, and limited experience developing and commercializing new product candidates, which makes it difficult to assess our future viability;</w:t>
      </w:r>
    </w:p>
    <w:p>
      <w:pPr>
        <w:spacing w:after="0" w:line="18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the success of our product candidates, and we cannot be certain that we will be able to obtain regulatory approval for, or successfully commercialize, any of our current or future product candidates;</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focused on neuroscience drug development, a field that has seen very limited success. The ability to successfully develop product candidates in this field is extremely difficult and is subject to a number of unique challenges;</w:t>
      </w:r>
    </w:p>
    <w:p>
      <w:pPr>
        <w:spacing w:after="0" w:line="189" w:lineRule="exact"/>
        <w:rPr>
          <w:rFonts w:ascii="Times New Roman" w:cs="Times New Roman" w:eastAsia="Times New Roman" w:hAnsi="Times New Roman"/>
          <w:sz w:val="18"/>
          <w:szCs w:val="18"/>
          <w:color w:val="auto"/>
        </w:rPr>
      </w:pPr>
    </w:p>
    <w:p>
      <w:pPr>
        <w:jc w:val="both"/>
        <w:ind w:left="660" w:hanging="328"/>
        <w:spacing w:after="0"/>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completion of nonclinical studies and/or clinical trials in any of our product candidate development programs may not be sufficient to cause the FDA to approve any NDA that we may submit, or cause any other agency to provide regulatory approval of any of our product candidates, and, even if approved, does not ensure acceptance of such product candidates by clinicians leading to a revenue stream to support our operations;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rapid growth since early 2021. If we fail to effectively manage our growth, including but not limited to growth of our operating expenses and headcount, we may not be able to execute on our business objectives;</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party collaborators to assist in conducting our nonclinical studies and clinical trials and if they do not perform satisfactorily, we may not be able to obtain regulatory approval or commercialize our product candidates, or such approval or commercialization may be delayed, and our business could be substantially harmed;</w:t>
      </w:r>
    </w:p>
    <w:p>
      <w:pPr>
        <w:spacing w:after="0" w:line="2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substantial additional financing to execute our business plan, including further nonclinical and clinical development, contract manufacturing and potential commercialization of our product candidates;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in equity-based financing transactions will cause substantial dilution to our existing stockholders, may restrict our operations or require us to relinquish rights to our product candidates, and may require us to seek stockholder approval to authorize additional shares of our common stock;</w:t>
      </w:r>
    </w:p>
    <w:p>
      <w:pPr>
        <w:spacing w:after="0" w:line="2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retain or attract key management and scientific personnel, we may be unable to successfully produce, develop, and commercialize our product candidates;</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highly competitive and rapidly changing industries, which may result in others discovering, developing or commercializing competing products before or more successfully than we do;</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and clinical drug development is a lengthy and expensive process, with an uncertain outcome. Our nonclinical and clinical programs have experienced delays and may experience additional delays or may never advance, which would adversely affect our ability to obtain regulatory approvals or commercialize our product candidates on a timely basis or at all, which could have an adverse effect on our business;</w:t>
      </w:r>
    </w:p>
    <w:p>
      <w:pPr>
        <w:spacing w:after="0" w:line="2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we are unable to compete effectively, we may not be able to achieve or maintain significant market penetration or improve our results of operations;</w:t>
      </w:r>
    </w:p>
    <w:p>
      <w:pPr>
        <w:spacing w:after="0" w:line="18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the success of our product candidates, and we cannot be certain that we will be able to obtain regulatory approval for, or successfully commercialize, any of our current or future product candidates;</w:t>
      </w:r>
    </w:p>
    <w:p>
      <w:pPr>
        <w:spacing w:after="0" w:line="2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we are unable to compete effectively, we may not be able to achieve or maintain significant market penetration or improve our results of operations;</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adequately protect our proprietary technology and product candidates,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2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staffing, large staff turnover and/or inadequate funding for the FDA or other government agencies could hinder those agencies from performing normal business functions on which the operation of our business may rely, which could negatively impact our business; and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described below.</w:t>
      </w:r>
    </w:p>
    <w:p>
      <w:pPr>
        <w:spacing w:after="0" w:line="2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we are unable to effectively manage the impact of these and other risks, our ability to operate and execute our strategic business plan would be substantially impaired. In turn, the value of our securities would be materially reduced.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successful development of pharmaceutical products is highly uncertain.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Successful development of pharmaceutical products is highly uncertain and is dependent on numerous factors, many of which are beyond our control.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candidates that appear promising in the early phases of development may fail to reach the market for several reasons, including:</w:t>
      </w:r>
    </w:p>
    <w:p>
      <w:pPr>
        <w:spacing w:after="0" w:line="21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enrollment and completion of any of our clinical trials;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 may show the product candidates to be less effective than expected (for example, a clinical trial could fail to meet its primary or key secondary endpoint(s)) or have an unacceptable safety or tolerability profile;</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receive the necessary regulatory approvals or a delay in receiving such approvals, which, among other things, may be caused by patients who fail the trial screening process, slow enrollment in clinical trials, patients dropping out of trials, patients lost to follow-up, length of time to achieve trial endpoints, additional time requirements for data analysis, review of IND, NDA or similar foreign applications, preparation, discussions with the FDA or foreign regulatory authorities, an FDA or foreign regulatory authority request for additional preclinical or clinical data (such as long-term toxicology studies) or unexpected safety or manufacturing issues;</w:t>
      </w:r>
    </w:p>
    <w:p>
      <w:pPr>
        <w:spacing w:after="0" w:line="196" w:lineRule="exact"/>
        <w:rPr>
          <w:rFonts w:ascii="Times New Roman" w:cs="Times New Roman" w:eastAsia="Times New Roman" w:hAnsi="Times New Roman"/>
          <w:sz w:val="18"/>
          <w:szCs w:val="18"/>
          <w:color w:val="auto"/>
        </w:rPr>
      </w:pPr>
    </w:p>
    <w:p>
      <w:pPr>
        <w:ind w:left="660" w:hanging="328"/>
        <w:spacing w:after="0" w:line="26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equivalent non-U.S. regulatory authorities may find the chemistry, manufacturing and controls, or (</w:t>
      </w:r>
      <w:r>
        <w:rPr>
          <w:rFonts w:ascii="Times New Roman" w:cs="Times New Roman" w:eastAsia="Times New Roman" w:hAnsi="Times New Roman"/>
          <w:sz w:val="18"/>
          <w:szCs w:val="18"/>
          <w:i w:val="1"/>
          <w:iCs w:val="1"/>
          <w:color w:val="auto"/>
        </w:rPr>
        <w:t>CMC</w:t>
      </w:r>
      <w:r>
        <w:rPr>
          <w:rFonts w:ascii="Times New Roman" w:cs="Times New Roman" w:eastAsia="Times New Roman" w:hAnsi="Times New Roman"/>
          <w:sz w:val="18"/>
          <w:szCs w:val="18"/>
          <w:color w:val="auto"/>
        </w:rPr>
        <w:t>) data insufficient to support the quality of our product candidates;</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study results may show the product candidate to be less effective than desired or to have harmful side effects;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approval requirements; or</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proprietary rights of others and their competing products and technologies that may prevent our product candidates from being commercialized.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length of time necessary to complete clinical trials and submit an application for marketing approval for a final decision by a regulatory authority varies significantly from one product candidate to the next and from one country or jurisdiction to the next and may be difficult to predict.</w:t>
      </w:r>
    </w:p>
    <w:p>
      <w:pPr>
        <w:spacing w:after="0" w:line="1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Even if we are successful in obtaining marketing approval, commercial success of any approved products will also depend in large part on the availability of coverage and adequate reimbursement from third-party payors, including government payors such as the Medicare and Medicaid programs and managed care organizations in the U.S. or country-specific governmental organizations in foreign countries, which may be affected by existing and future healthcare reform measures designed to reduce the cost of healthcare. Third-party payors could require us to conduct additional studies, including post-marketing studies related to the cost effectiveness of a product, to qualify for reimbursement, which could be costly and divert our resources. If government and other healthcare payors were not to provide coverage and adequate reimbursement for our products once approved, market acceptance and commercial success would be reduced.</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addition, if any of our product candidates receive marketing approval, we will be subject to significant regulatory obligations regarding the submission of safety and other post-marketing information and reports and registration, and will need to continue to comply (or ensure that our third-party providers comply) with current cGMPs and similar foreign requirements, and GCPs for any clinical trials that we conduct post-approval. In addition, there is always the risk that we, a regulatory authority or a third party might identify previously unknown problems with a product post-approval, such as adverse events of unanticipated severity or frequency. Compliance with these requirements is costly, and any failure to comply or other issues with our product candidates post-approval could adversely affect our business, financial condition and results of operations.</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the success of our product candidates. If we are unable to successfully complete clinical development, obtain regulatory approval for or commercialize one or more of our product candidates, or if we experience delays in doing so, our business will be materially harmed.</w:t>
      </w:r>
    </w:p>
    <w:p>
      <w:pPr>
        <w:spacing w:after="0" w:line="20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To date, as an organization, we have not completed the development of any of our product candidates. Our future success and ability to generate revenue from our product candidates is dependent on our ability to successfully develop, obtain regulatory approval for and commercialize one or more of our product candidates. All of our product candidates will require substantial additional investment for clinical development, regulatory review and approval in one or more jurisdictions. If any of our product candidates encounters safety or efficacy problems, development delays or regulatory issues or other problems, our development plans and business would be materially harmed.</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nonclinical and clinical programs have experienced delays and may experience additional delays or may never advance, which would adversely affect our ability to obtain regulatory approvals or commercialize our product candidates on a timely basis or at all, which could have an adverse effect on our business. We may not have the financial resources to continue development of or commercialize our product candidates if we experience any issues that further delay or prevent regulatory approval of, or our ability to commercialize, our product candidates,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60" w:right="2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comparable foreign regulatory authorities that our product candidates are safe and effective;</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insufficiency of our financial and other resources to complete the necessary preclinical studies, clinical trials and regulatory submissions or necessary to fund pre-commercial and commercial activities to establish sales, marketing and distribution capabilities needed to successfully commercialize an approved product;</w:t>
      </w:r>
    </w:p>
    <w:p>
      <w:pPr>
        <w:spacing w:after="0" w:line="2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preclinical studies, clinical trials or the clinical trials of others for product candidates similar to ours, leading to a decision or requirement to conduct additional preclinical studies, clinical trials or abandon a program;</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adverse events experienced by subjects in our clinical trials, including unexpected toxicity results, or by individuals using drugs or therapeutic biologics similar to our product candidates;</w:t>
      </w:r>
    </w:p>
    <w:p>
      <w:pPr>
        <w:spacing w:after="0" w:line="18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an IND or comparable foreign applications or delays or failure in obtaining the necessary approvals or allowances from regulators to commence a clinical trial or a suspension or termination, or hold, of a clinical trial once commenced;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comparable foreign regulatory authorities regarding the scope or design of our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effectiveness of our product candidates observed during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than expected performance of control arms, such as placebo groups, which could lead to negative or inconclusive results from our clinical trials;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subjects in our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subjects from our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product candidates or other materials necessary for the conduct of our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clinical trial or manufacturing costs;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comparable regulatory authority inspection and review of our clinical trial sites;</w:t>
      </w:r>
    </w:p>
    <w:p>
      <w:pPr>
        <w:spacing w:after="0" w:line="22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the clinical trial protocol or otherwise meet their contractual obligations in a timely manner, or at all;</w:t>
      </w:r>
    </w:p>
    <w:p>
      <w:pPr>
        <w:spacing w:after="0" w:line="18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policies and guidelines, including the imposition of additional regulatory oversight around clinical testing generally or with respect to our therapies in particular; or</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comparable foreign regulatory authorities.</w:t>
      </w:r>
    </w:p>
    <w:p>
      <w:pPr>
        <w:spacing w:after="0" w:line="2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no recurring revenues from product sales or approved products. We are not profitable and have incurred losses in each period since our inception. We expect to continue to incur significant losses for the foreseeable future, and we expect these losses to increase as we continue our research and development of, and seek regulatory approvals for, and commercialization of our product candidates.</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are a clinical-stage biopharmaceutical company. We have no products approved for commercial sale and have generated no revenue from product sales to date. We will continue to incur significant research and development and other expenses related to our preclinical and clinical development and ongoing operations. As a result, we are not profitable and have incurred losses in each period since our inception. Net losses and negative cash flows have had, and will continue to have, an adverse effect on our stockholders’ equity and working capital. Our net losses totaled $51.4 million and $29.4 million for the years ended March 31, 2025 and 2024, respectively, and we incurred a net loss of $15.1 million during the three months ended June 30, 2025. We expect to continue to incur significant losses for the foreseeable future, and we expect these losses to increase as we continue our research and development of, and seek regulatory approvals for, and commercialization of our product candidates.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product candidates through clinical development, including as we advance these candidates into and through later-stage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medical, scientific and other technical personnel to support the clinical development of our product candidates;</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 increase in headcount as we expand our research and development organization and market development and pre-commercial planning activities;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any pre-commercial and commercial activities to establish sales, marketing and distribution capabilities;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preclinical-stage product candidates into clinical development;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3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Biopharmaceutical product development entails substantial upfront capital expenditures and significant risk that any potential product candidate will fail to demonstrate adequate efficacy or an acceptable safety profile, gain regulatory approval, secure market access and reimbursement, and become commercially viable, and therefore any investment in us is highly speculative. Accordingly, before making an investment in us, you should consider our prospects, factoring in the costs, uncertainties, delays and difficulties frequently encountered by companies in clinical development, especially clinical-stage biopharmaceutical companies such as ours. Any predictions you make about our future success or viability may not be as accurate as they would otherwise be if we had a longer operating history or a history of successfully developing and commercializing pharmaceutical products. We may encounter unforeseen expenses, difficulties, complications, delays and other known or unknown factors in achieving our business objectives.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Additionally, our expenses could increase beyond our expectations if we are required by the FDA or other regulatory authorities to perform preclinical studies or clinical trials in addition to those that we currently anticipate, or if there are any delays in establishing appropriate manufacturing arrangements for or in completing our clinical trials or the development of any of our product candidates.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be profitable.</w:t>
      </w:r>
    </w:p>
    <w:p>
      <w:pPr>
        <w:spacing w:after="0" w:line="22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ability to become and remain profitable depends on our ability to generate revenue or execute other business development arrangements. We do not expect to generate significant revenue, if any, unless and until we are able to obtain regulatory approval for, and successfully commercialize, one or more product candidates we are developing or may develop. Successful commercialization will require achievement of many key milestones, including demonstrating sufficient evidence of safety and efficacy in clinical trials, obtaining regulatory approval for these product candidates, manufacturing, marketing and selling those products for which we may obtain regulatory approval, satisfying any post-marketing requirements and obtaining reimbursement for our products from private insurance or government payors. Because of the uncertainties and risks associated with these activities, we are unable to accurately and precisely predict the timing and amount of revenues, the extent of any further losses or if or when we might achieve profitability. We may never succeed in these activities, and even if we do, we may never generate revenues that are significant enough for us to achieve profitability. Even if we do achieve profitability, we may not be able to sustain or increase profitability on a quarterly or annual basis.</w:t>
      </w:r>
    </w:p>
    <w:p>
      <w:pPr>
        <w:spacing w:after="0" w:line="2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failure to become and remain profitable may depress the market price of our common stock and could impair our ability to raise capital, expand our business, diversify our product offerings or continue our operations. If we continue to incur losses as we have since our inception, investors may not receive any return on their investment and may lose their entire investment.</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financing to execute our business plan, and if we are unable to raise capital when needed, we could be forced to delay, reduce or terminate our research and development programs, pre-commercialization or commercialization efforts.</w:t>
      </w:r>
    </w:p>
    <w:p>
      <w:pPr>
        <w:spacing w:after="0" w:line="19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As in prior periods we expect to continue to spend substantial amounts of cash to continue the preclinical and clinical development of our product candidates. These expenditures will include costs associated with general and administrative costs, facilities costs, research and development, manufacturing, conducting nonclinical experiments and clinical trials, obtaining regulatory approvals and commercialization, should the FDA approve any of our product candidates for sale. We will need to raise substantial additional capital to complete certain of our currently planned preclinical and clinical development programs, including</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future late-stage clinical trials. If we are able to gain marketing approval for any product candidates that we develop, we will require significant amounts of additional capital in order to launch and commercialize such product candidates. As the outcome of our ongoing research and development activities, including the outcome of future anticipated preclinical studies and clinical trials, is highly uncertain, we cannot reasonably estimate the actual amounts of additional capital necessary to successfully complete the development and commercialization of any product candidate we develop. We do not expect to generate sustainable positive operating cash flows until, and unless, we obtain approval from the FDA and other regulatory authorities and successfully commercialize one or more of our product candidates.</w:t>
      </w:r>
    </w:p>
    <w:p>
      <w:pPr>
        <w:spacing w:after="0" w:line="2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a result of these and other factors, we will need to seek additional capital to meet our future operating plans and requirements, including capital necessary to develop, obtain regulatory approval for, and commercialize fasedienol and our other product candidates, and may seek additional capital in the event there exists favorable market conditions or strategic considerations, even if we believe we have sufficient funds for our current or future operating plans and requirements.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need for additional funding depends on many factors, including:</w:t>
      </w:r>
    </w:p>
    <w:p>
      <w:pPr>
        <w:spacing w:after="0" w:line="239"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future product candidates we pursue and their development requirements;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developing and commercializing our product candidates and any other additional product candidates we may develop and pursue in the future;</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marketing approvals for our product candidates and any other additional product candidates we may develop and pursue in the future;</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regulatory approval, the costs of commercialization activities for our product candidates, to the extent such costs are not the responsibility of any future collaborators, including the costs and timing of establishing product sales, marketing, distribution and manufacturing capabilities;</w:t>
      </w:r>
    </w:p>
    <w:p>
      <w:pPr>
        <w:spacing w:after="0" w:line="203"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regulatory approval, revenue, if any, received from commercial sales of our product candidates or any other additional product candidates we may develop and pursue in the future;</w:t>
      </w:r>
    </w:p>
    <w:p>
      <w:pPr>
        <w:spacing w:after="0" w:line="2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formulating and manufacturing our product candidates;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establish and maintain strategic partnerships, licensing or other collaborative arrangements necessary for the development and commercialization of our product candidates, on favorable financial terms, if at all;</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regulatory approval, market acceptance of our product candidates;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market development, pre-commercial and commercial activities;</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including enforcing and defending intellectual property related claims; and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2025, the Company had cash, cash equivalents, and marketable securities of $63.2 million. As of August 7, 2025, the issuance date of the condensed consolidated financial statements as of and for the three months ended June 30, 2025, there is uncertainty about whether the Company’s combined cash, cash equivalents, and marketable securities will be sufficient to fund operations beyond twelve months from the issuance date of these condensed consolidated financial statements and therefore the Company concluded that substantial doubt existed about the Company’s ability to continue as a going concern.</w:t>
      </w:r>
    </w:p>
    <w:p>
      <w:pPr>
        <w:spacing w:after="0" w:line="19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terms of any future financing may adversely affect the holdings or the rights of our stockholders and the issuance of additional securities, whether equity or debt, by us, or the possibility of such issuance, may cause the market price of our shares to decline. For example,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may also seek funds through arrangements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with collaborative partners in certain territories, including the U.S., or at an earlier stage than otherwise would be desirable or aligned with our business plan, and we may be required to relinquish rights to some of our technologies or product candidates or otherwise agree to terms unfavorable to us, any of which may have a material adverse effect on our business, operating results and prospects.</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When necessary, if we are unable to obtain additional funding on a timely basis and on acceptable terms, we may be required to significantly curtail, delay or terminate one or more of our research or product development programs, our pre-commercialization efforts or be unable to continue or expand our operations or otherwise capitalize on our business opportunities, as desired, which could materially affect our business, financial condition and results of operations.</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Due to the significant resources required for the development of our pipeline, and depending on our ability to access capital, we must prioritize the development of certain product candidates over others. Moreover, we may fail to expend our limited resources on product candidates or indications that may have been more profitable or for which there is a greater likelihood of success.</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Currently, we are developing or have development plans in place for the five clinical-stage pherine product candidates currently in our neuroscience pipeline. We seek to maintain a process of prioritization and optimal capital allocation to maintain an appropriate balance between the development of our most advanced product candidates and indications and ensuring the development of additional potential product candidates and indications, on our own or with strategic collaborators.</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therapeutic areas or indications may not lead to the development of viable commercial products and may divert resources away from better opportunities. If we make incorrect determinations regarding the viability or market potential of any of our product candidates or misread trends in the pharmaceutical industry, in particular for psychiatric and neurological disorders, our business, financial condition and results of operations could be materially and adversely affected. As a result, we may fail to capitalize on viable commercial products or profitable market opportunities, be required to forego or delay pursuit of opportunities with other product candidates or other disorders that may later prove to have greater commercial potential than those we choose to pursue, or relinquish valuable rights to such product candidates through collaboration, licensing or royalty arrangements in cases in which it would have been advantageous for us to invest additional resources to retain sole development and commercialization rights.</w:t>
      </w:r>
    </w:p>
    <w:p>
      <w:pPr>
        <w:spacing w:after="0" w:line="21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substantial dilution to our stockholders, restrict our operations or require us to relinquish significant rights to our technologies or product candidates.</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expect our expenses to increase in connection with our planned operations. Unless and until we can generate a substantial amount of revenue from our product candidates, we expect to finance our future cash needs through public or private equity offerings, debt financings, royalty-based financing, collaborations, licensing arrangements or other sources, or any combination of the foregoing. In addition, we may seek additional capital due to favorable market conditions or strategic considerations, even if we believe that we have sufficient funds for our current or future operating plans.</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common stock, convertible securities or other equity securities, the ownership interest of our stockholders may be substantially diluted, and the terms of these securities could include liquidation or other preferences and anti-dilution protections that could adversely affect the rights of our common stockholders. In addition, royalty-based financing or debt financing, if available, may result in our relinquishing significant rights to valuable future revenue streams or fixed payment obligations and may involve agreements that include restrictive covenants that limit our ability to take specific actions, such as incurring additional debt, making capital expenditures, creating liens, redeeming stock or declaring dividends, that could adversely impact our ability to conduct our business. In addition, securing financing could require a substantial amount of time and attention from our management team and may divert a disproportionate amount of our attention away from day-to-day activities, which may adversely affect our management team’s ability to oversee the development and commercialization of our product candidates, if approved.</w:t>
      </w:r>
    </w:p>
    <w:p>
      <w:pPr>
        <w:spacing w:after="0" w:line="21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If we raise additional capital through collaborations, strategic alliances or marketing, distribution or licensing arrangements, or royalty-based financings with third parties, we may have to relinquish valuable rights to our technologies, future revenue streams, research programs or product candidates, or grant licenses on terms that may not be favorable to us. If we are unable to raise additional capital when needed, we may be required to delay, limit, reduce or terminate our research, product development or future commercialization efforts, grant rights to develop and market product candidates that we would otherwise prefer to develop and market ourselves, obtain capital through arrangement with collaborators on terms unfavorable to us or pursue other strategies, all of which could adversely affect the holdings or the rights of our stockholders.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Regulatory Approval</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regulatory authorities are lengthy, time-consuming and inherently unpredictable, and if we are ultimately unable to obtain regulatory approval for our product candidates, our business will be substantially harmed.</w:t>
      </w:r>
    </w:p>
    <w:p>
      <w:pPr>
        <w:spacing w:after="0" w:line="18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U.S. without obtaining regulatory approval from the FDA. Foreign regulatory authorities impose similar requirements. The time required to obtain approval by the FDA and comparable foreign authorities is inherently unpredictable, but typically takes many years following the commencement of clinical trials and depends upon numerous factors, including substantial discretion of the regulatory authorities and such factors may vary among jurisdictions. For instance, jurisdictions outside of the U.S., such as China, the European Union (</w:t>
      </w:r>
      <w:r>
        <w:rPr>
          <w:rFonts w:ascii="Times New Roman" w:cs="Times New Roman" w:eastAsia="Times New Roman" w:hAnsi="Times New Roman"/>
          <w:sz w:val="18"/>
          <w:szCs w:val="18"/>
          <w:i w:val="1"/>
          <w:iCs w:val="1"/>
          <w:color w:val="auto"/>
        </w:rPr>
        <w:t>EU</w:t>
      </w:r>
      <w:r>
        <w:rPr>
          <w:rFonts w:ascii="Times New Roman" w:cs="Times New Roman" w:eastAsia="Times New Roman" w:hAnsi="Times New Roman"/>
          <w:sz w:val="18"/>
          <w:szCs w:val="18"/>
          <w:color w:val="auto"/>
        </w:rPr>
        <w:t>) or Japan, may have different requirements for regulatory approval, which may require us to conduct additional clinical, nonclinical or chemistry, manufacturing and control studies. In addition, approval policies, regulations, or the type and amount of clinical data necessary to gain approval may change during the course of a product candidate’s clinical development. To date, we have not submitted a NDA to the FDA or similar drug approval submissions to comparable foreign regulatory authorities for any product candidate. We must complete additional preclinical studies and clinical trials to demonstrate the safety and efficacy of our product candidates in humans before we will be able to seek or obtain these approvals.</w:t>
      </w:r>
    </w:p>
    <w:p>
      <w:pPr>
        <w:spacing w:after="0" w:line="22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Nonclinical studies and clinical trials are expensive, difficult to design and implement, can take many years to complete and are inherently uncertain as to outcome. We cannot guarantee that any nonclinical studies or clinical trials will be conducted as planned or completed on schedule, if at all. The clinical development of our product candidates is susceptible to the risk of failure inherent at any stage of development, including failure to demonstrate efficacy in a clinical trial or across a broad population of patients, the occurrence of adverse events that are severe or medically or commercially unacceptable, failure to comply with protocols or applicable regulatory requirements and determination by the FDA or any comparable foreign regulatory authority that a product candidate may not continue development or is not approvable. It is possible that even if any of our product candidates have a beneficial effect, that effect will not be detected throughout the required phase of clinical evaluation as a result of one or more of a variety of factors, including the size, duration, design, measurements, conduct or analysis of our clinical trials. Conversely, as a result of the same factors, our clinical trials may indicate an apparent positive effect of such product candidate that is greater than the actual positive effect, if any. Similarly, in our clinical trials we may fail to detect toxicity of, or intolerability caused by, such product candidate, or mistakenly believe that our product candidates are toxic or not well tolerated when that is not in fact the case. Serious adverse events or other adverse events, as well as tolerability issues, could hinder or prevent market acceptance of the product candidate at issue.</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nonclinical studies and clinical trial results, may result in our failing to obtain regulatory approval to market any product candidate we develop, which would substantially harm our business, results of operations and prospects. The FDA and other comparable foreign authorities have substantial discretion in the approval process and determining when or whether regulatory approval will be granted for any product candidate that we develop. Even if we believe the data collected from future clinical trials of our product candidates are promising, such data may not be sufficient to support approval by the FDA or any other regulatory authority.</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or comparable foreign regulatory authorities may disagree with our regulatory plan for our product candidates.</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order to obtain FDA approval of our product candidates, we must, among other things, demonstrate substantial evidence of the effectiveness of such product candidates. FDA has generally considered this demonstration of substantial evidence of the effectiveness to require data gathered from at least two adequate and well-controlled clinical trials of the product candidate in the relevant patient population, or in some cases, one adequate and well-controlled trial plus other confirmatory evidence. Adequate and well-controlled clinical trials typically involve a large number of patients, have significant costs and take years to complete. The FDA or other regulatory authorities may disagree with us about whether a clinical trial is adequate and well-controlled or may request that we conduct additional nonclinical studies or clinical trials prior to granting any regulatory approval. In addition, there is no assurance that the doses, endpoints and trial designs that we intend to use for our ongoing and/or future clinical trials, including trials developed based on feedback from the FDA or other regulatory agencies or those that have been used for the approval of similar drugs, will be acceptable for future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approvals. For example, while we have designed our U.S. registration-directed PALISADE program for fasedienol for the acute treatment of SAD after receiving input and feedback from the FDA, there can be no assurance that the design of our planned clinical trials will be satisfactory to the FDA or that the FDA will not require us to modify our trials or conduct additional clinical trials, or that completing these trials will result in regulatory approval. Even if our ongoing and/or future clinical trials achieve their primary efficacy endpoint, there can be no assurance that the FDA will find them sufficient to support approval. Moreover, there are limited precedents for trial design, trial endpoints and regulatory pathway for the acute treatment of SAD and certain other therapeutic indications we are pursuing through the development of our product candidates, including fasedienol for the acute treatment of SAD, itruvone for the treatment of MDD and PH80 for the management of VMS (hot flashes) associated with menopause, which may make clinical development and regulatory approval for those product candidates more challenging.</w:t>
      </w:r>
    </w:p>
    <w:p>
      <w:pPr>
        <w:spacing w:after="0" w:line="22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clinical trial results may not support approval of our product candidates. In addition, our product candidates could fail to receive regulatory approval, or regulatory approval could be delayed, for many reasons, including the following:</w:t>
      </w:r>
    </w:p>
    <w:p>
      <w:pPr>
        <w:spacing w:after="0" w:line="17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as to the design or implementation of our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file or accept our NDA or marketing application for substantive review;</w:t>
      </w:r>
    </w:p>
    <w:p>
      <w:pPr>
        <w:spacing w:after="0" w:line="25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equivalent non-U.S. regulatory authorities may find the chemistry, manufacturing and controls, or data insufficient to support the quality of our product candidates;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dosing regimen, design or implementation of our clinical trials;</w:t>
      </w:r>
    </w:p>
    <w:p>
      <w:pPr>
        <w:spacing w:after="0" w:line="25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our product candidates are safe and effective for any of their proposed indications;</w:t>
      </w:r>
    </w:p>
    <w:p>
      <w:pPr>
        <w:spacing w:after="0" w:line="18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significance required by the FDA or comparable foreign regulatory authorities for approval;</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product candidates’ clinical and other benefits outweigh their safety risks;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our preclinical studies or clinical trials;</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the satisfaction of the FDA or comparable foreign regulatory authorities to support the submission of a NDA or other comparable submission in foreign jurisdictions or to obtain regulatory approval in the U.S. or elsewhere;</w:t>
      </w:r>
    </w:p>
    <w:p>
      <w:pPr>
        <w:spacing w:after="0" w:line="21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18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third parties having accurately generated, collected, interpreted and reported data from certain preclinical studies and clinical trials that were previously conducted for our product candidates.</w:t>
      </w:r>
    </w:p>
    <w:p>
      <w:pPr>
        <w:spacing w:after="0" w:line="19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have acquired our pherine product candidates from Pherin, now our wholly-owned subsidiary, and Pherin undertook research and development of such product candidates prior to our acquisitions. We had no involvement with or control over the preclinical and clinical development of our pherine product candidates prior to acquiring or licensing them from Pherin. Therefore, we are dependent, in part, on Pherin’s prior research and development efforts in accordance with the applicable protocols, legal and regulatory requirements, and scientific standards utilized by them; having accurately reported the results of all preclinical studies and clinical trials conducted with respect to such product candidates and having correctly collected and interpreted the data from these studies and trials. These risks also apply to any product candidates that we may acquire or in-license in the future, if any. If these activities were not compliant, accurate or correct, the clinical development, regulatory approval or commercialization of our pherine product candidates will be adversely affected.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clinical trials fail to replicate results from earlier preclinical studies or clinical trials conducted by us or third parties, we may be unable to successfully develop, obtain regulatory approval for or commercialize our product candidates.</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results observed from earlier preclinical studies or early-stage clinical trials of our product candidates, including positive results, may not necessarily be predictive of the results of ongoing or future clinical trials. Furthermore, our product candidates may not be able to demonstrate similar activity or adverse event profiles as other product candidates that we believe may have similar profiles. In addition, in our planned future clinical trials, we may utilize clinical trial designs or dosing regimens that have not been tested in prior clinical trials.</w:t>
      </w:r>
    </w:p>
    <w:p>
      <w:pPr>
        <w:spacing w:after="0" w:line="20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Moreover, there is a high failure rate for drugs candidate proceeding through clinical trials and there can be no assurance that any of our clinical trials will ultimately be successful. We, and many other companies in the pharmaceutical and biotechnology industries, have suffered significant setbacks in late-stage clinical trials after achieving positive results in earlier-stage development, such as the failure of our PALISADE-1 Phase 3 clinical trial of fasedienol to meet its primary endpoint, and we cannot be certain that we will not face similar setbacks in the future. In addition to the risk of ongoing or planned clinical trials failing to meet primary endpoints, setbacks may also be caused by, among other things, preclinical findings made while clinical trials were underway or safety or efficacy observations made in preclinical studies and clinical trials, including previously unreported adverse events. Such failures or setback may have a material adverse effect on our ability to develop, obtain regulatory approval for or ultimately commercialize any of our product candidates.</w:t>
      </w:r>
    </w:p>
    <w:p>
      <w:pPr>
        <w:spacing w:after="0" w:line="22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incur unexpected costs or experience material delays in completing, or ultimately be unable to complete, the contract manufacturing, nonclinical and clinical development and commercialization of our product candidates.</w:t>
      </w:r>
    </w:p>
    <w:p>
      <w:pPr>
        <w:spacing w:after="0" w:line="18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To obtain the requisite regulatory approvals to commercialize any of our product candidates, we must demonstrate through extensive nonclinical studies and clinical trials that our product candidates are safe and effective in humans. We have experienced, and may further experience delays in completing our contract manufacturing, clinical trials or nonclinical studies and initiating or completing additional clinical trials or nonclinical studies, including as a result of regulators not allowing or delay in allowing clinical trials to proceed under an IND or similar approval we need to initiate a clinical trial. We may also experience numerous unforeseen events during our clinical trials that could delay or prevent our ability to receive marketing approval or commercialize the product candidates we develop, including:</w:t>
      </w:r>
    </w:p>
    <w:p>
      <w:pPr>
        <w:spacing w:after="0" w:line="207" w:lineRule="exact"/>
        <w:rPr>
          <w:sz w:val="20"/>
          <w:szCs w:val="20"/>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other reviewing bodies such as ethics committees may not authorize us or our investigators to commence a clinical trial, or to conduct or continue a clinical trial at a prospective or specific trial site;</w:t>
      </w:r>
    </w:p>
    <w:p>
      <w:pPr>
        <w:spacing w:after="0" w:line="173" w:lineRule="exact"/>
        <w:rPr>
          <w:rFonts w:ascii="Times New Roman" w:cs="Times New Roman" w:eastAsia="Times New Roman" w:hAnsi="Times New Roman"/>
          <w:sz w:val="18"/>
          <w:szCs w:val="18"/>
          <w:color w:val="auto"/>
        </w:rPr>
      </w:pPr>
    </w:p>
    <w:p>
      <w:pPr>
        <w:ind w:left="660" w:hanging="328"/>
        <w:spacing w:after="0" w:line="268"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reach agreement on acceptable terms with prospective contract research organizations (</w:t>
      </w:r>
      <w:r>
        <w:rPr>
          <w:rFonts w:ascii="Times New Roman" w:cs="Times New Roman" w:eastAsia="Times New Roman" w:hAnsi="Times New Roman"/>
          <w:sz w:val="18"/>
          <w:szCs w:val="18"/>
          <w:i w:val="1"/>
          <w:iCs w:val="1"/>
          <w:color w:val="auto"/>
        </w:rPr>
        <w:t>CROs</w:t>
      </w:r>
      <w:r>
        <w:rPr>
          <w:rFonts w:ascii="Times New Roman" w:cs="Times New Roman" w:eastAsia="Times New Roman" w:hAnsi="Times New Roman"/>
          <w:sz w:val="18"/>
          <w:szCs w:val="18"/>
          <w:color w:val="auto"/>
        </w:rPr>
        <w:t>) and clinical trial sites, the terms of which can be subject to extensive negotiation and may vary significantly among different CROs and trial sites;</w:t>
      </w:r>
    </w:p>
    <w:p>
      <w:pPr>
        <w:spacing w:after="0" w:line="20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further challenges or delays in recruiting principal investigators or study sites to lead our clinical trials;</w:t>
      </w:r>
    </w:p>
    <w:p>
      <w:pPr>
        <w:spacing w:after="0" w:line="238"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or patients required for clinical trials of our product candidates may be larger than we anticipate, enrollment in these clinical trials may be insufficient or materially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contract development and manufacturing organizations (</w:t>
      </w:r>
      <w:r>
        <w:rPr>
          <w:rFonts w:ascii="Times New Roman" w:cs="Times New Roman" w:eastAsia="Times New Roman" w:hAnsi="Times New Roman"/>
          <w:sz w:val="18"/>
          <w:szCs w:val="18"/>
          <w:i w:val="1"/>
          <w:iCs w:val="1"/>
          <w:color w:val="auto"/>
        </w:rPr>
        <w:t>CDMOs</w:t>
      </w:r>
      <w:r>
        <w:rPr>
          <w:rFonts w:ascii="Times New Roman" w:cs="Times New Roman" w:eastAsia="Times New Roman" w:hAnsi="Times New Roman"/>
          <w:sz w:val="18"/>
          <w:szCs w:val="18"/>
          <w:color w:val="auto"/>
        </w:rPr>
        <w:t>), CROs, clinical research sites or other third-parties acting on our behalf or in connection with our studies, may fail to comply with regulatory requirements or meet their contractual obligations to us in a timely manner, or at all;</w:t>
      </w:r>
    </w:p>
    <w:p>
      <w:pPr>
        <w:spacing w:after="0" w:line="19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amend clinical trial protocols submitted to regulatory authorities or conduct additional studies to reflect changes in regulatory requirements or guidance, which may be required to resubmit to an institutional review board (</w:t>
      </w:r>
      <w:r>
        <w:rPr>
          <w:rFonts w:ascii="Times New Roman" w:cs="Times New Roman" w:eastAsia="Times New Roman" w:hAnsi="Times New Roman"/>
          <w:sz w:val="18"/>
          <w:szCs w:val="18"/>
          <w:i w:val="1"/>
          <w:iCs w:val="1"/>
          <w:color w:val="auto"/>
        </w:rPr>
        <w:t>IRB</w:t>
      </w:r>
      <w:r>
        <w:rPr>
          <w:rFonts w:ascii="Times New Roman" w:cs="Times New Roman" w:eastAsia="Times New Roman" w:hAnsi="Times New Roman"/>
          <w:sz w:val="18"/>
          <w:szCs w:val="18"/>
          <w:color w:val="auto"/>
        </w:rPr>
        <w:t>) and regulatory authorities for re-examination;</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other reviewing bodies may find deficiencies with, fail to approve or subsequently find fault with the manufacturing processes or facilities of third-party manufacturers with which we enter into agreements for clinical and commercial supplies, or the supply or quality of any product candidate or other materials necessary to conduct clinical trials of our product candidates may be insufficient, inadequate or not available at an acceptable cost, or we may experience interruptions in supply;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or the applicable foreign regulatory agencies to significantly change in a manner rendering our clinical data insufficient for approval.</w:t>
      </w: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Regulators or IRBs of the institutions in which clinical trials are being conducted may suspend, limit or terminate a clinical trial, or data monitoring committees may recommend that we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safety issues or adverse side effects, failure to demonstrate a benefit from using a drug, changes in governmental regulations or administrative actions or lack of adequate funding to continue the clinical trial. Negative or inconclusive results from our clinical trials or preclinical studies could mandate repeated or additional clinical trials and, to the extent we choose to conduct clinical trials in other indications, could result in changes to or delays in clinical trials of our product candidates in such other indications. We do not know whether any clinical trials that we conduct will demonstrate efficacy and safety results adequate to obtain regulatory approval to market our product candidates for the indications that we are pursuing. If later-stage clinical trials do not produce favorable results, our ability to obtain regulatory approval for and commercialize our product candidates will be adversely impacted.</w:t>
      </w:r>
    </w:p>
    <w:p>
      <w:pPr>
        <w:spacing w:after="0" w:line="21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failure to successfully initiate and complete required nonclinical studies and clinical trials and to demonstrate the efficacy and safety necessary to obtain regulatory approval to market our product candidates would significantly harm our business. Our product candidate development costs will also increase substantially if we experience delays in testing or regulatory approvals and we may be required to obtain additional funds to complete necessary nonclinical studies or clinical trials. We cannot assure you that our nonclinical studies or clinical trials will begin as planned or be completed on schedule, if at all, or that we will not need to restructure or otherwise modify our trials after they have begun.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which may harm our business and results of operations. In addition, many of the factors that cause, or lead to, delays of nonclinical studies or clinical trials may ultimately lead to the denial of regulatory approval of our product candidates.</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clinical development activities could be materially delayed or otherwise adversely affected by difficulties enrolling and randomizing patients in our clinical trials.</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and may continue to experience difficulties in patient enrollment and randomization in our clinical trials for a variety of reasons, including the stringent entry criteria for our clinical trials. The timely completion of clinical trials requiring rigorous adherence to clinical trial protocols depends, among other things, on our ability to enroll and randomize a sufficient number of patients who qualify for and remain in the trial until its conclusion.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 enrollment and randomization is affected by many factors, including:</w:t>
      </w:r>
    </w:p>
    <w:p>
      <w:pPr>
        <w:spacing w:after="0" w:line="239"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 required for analysis of the trial’s primary endpoints;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or condition under investigation;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trial sites;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25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train and retain clinical trial investigators and clinical research site staff with the appropriate competencies and experience through the duration of the trial;</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and clinicians’ and patients’ perceptions as to the potential advantages and risks of the product candidate being studied in relation to other available therapies, including any drugs that may be approved for the indications that we are investigating;</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recruitment or referral practices of centralized recruiting firms, clinical trial sites and physicians;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in the trial;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our clinical trials will drop out of the trials before completion.</w:t>
      </w:r>
    </w:p>
    <w:p>
      <w:pPr>
        <w:spacing w:after="0" w:line="2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may also experience challenges in recruiting principal investigators and patients to participate in ongoing and future clinical trials for our product candidates if we are unable to sufficiently demonstrate the potential of such product candidates to them. In addition, our clinical trials may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for our clinical trials in such clinical trial site. Furthermore, if significant adverse events or other side effects are observed in any of our clinical trials, we may have difficulty recruiting patients to our trials and patients may drop out of our trials. Finally, business disruptions, including those relating to natural disasters (including as a result of climate change), geopolitical incidents, pandemics or macroeconomic conditions, may disrupt our clinical trials.</w:t>
      </w:r>
    </w:p>
    <w:p>
      <w:pPr>
        <w:spacing w:after="0" w:line="2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inability to enroll and randomize a sufficient number of patients for our clinical trials would result in significant delays or might require us to abandon one or more clinical trials or our development efforts altogether. Material delays in patient enrollment and randomization may result in increased costs, affect the timing or outcome of ongoing or planned clinical trials and the public disclosure of trial results, product candidate development and approval process and jeopardize our ability to raise additional capital and seek and obtain the regulatory approval required to commence product sales and generate revenue, which could prevent completion of these trials, adversely affect our ability to advance the development of our product candidates, cause the value of the Company to decline and limit our ability to obtain additional financing if needed.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5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As product candidates proceed through preclinical studies and clinical development trials towards potential approval and commercialization, it is common that various aspects of the development program, such as the vendors used to manufacture drug product or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materials manufactured using altered processes. Such changes may also require additional testing, FDA or comparable foreign regulatory authorities' notification or approval. This could delay or prevent completion of clinical development, require conducting bridging clinical trials or the repetition of one or more clinical trials, increase clinical trial costs, delay or prevent approval of our product candidates and jeopardize our ability to commence sales and generate revenue.</w:t>
      </w:r>
    </w:p>
    <w:p>
      <w:pPr>
        <w:spacing w:after="0" w:line="2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our product candidates.</w:t>
      </w:r>
    </w:p>
    <w:p>
      <w:pPr>
        <w:spacing w:after="0" w:line="17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Any product candidate we develop, and the activities associated with its development and commercialization, including its design, testing, manufacture, safety, efficacy, recordkeeping, labeling, storage, approval, advertising, promotion, sale, and distribution, are subject to comprehensive regulation by the FDA and other regulatory authorities in the U.S.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are developing or may seek to develop in the future will ever obtain regulatory approval.</w:t>
      </w:r>
    </w:p>
    <w:p>
      <w:pPr>
        <w:spacing w:after="0" w:line="19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have no experience in submitting and supporting the applications necessary to gain marketing approvals and expect to rely on third-party CROs and regulatory consultants to augment our internal personnel and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extensive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its obtaining marketing approval or prevent or limit commercial use.</w:t>
      </w:r>
    </w:p>
    <w:p>
      <w:pPr>
        <w:spacing w:after="0" w:line="2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process of obtaining marketing approvals, both in the U.S.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during the development period, changes in or the enactment of additional statutes or regulations, or changes in regulatory personnel and review processes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that we may ultimately obtain could be limited or subject to restrictions or post-approval commitments that render the approved product not commercially viable.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any product candidates we may develop, the commercial prospects for those product candidates may be harmed, and our ability to generate revenues will be materially impaired.</w:t>
      </w:r>
    </w:p>
    <w:p>
      <w:pPr>
        <w:spacing w:after="0" w:line="1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nonclinical studies or clinical trials that we may announce or publish from time to time may change as more patient data becomes available and are subject to audit and verification procedures that could result in material changes in the final data.</w:t>
      </w:r>
    </w:p>
    <w:p>
      <w:pPr>
        <w:spacing w:after="0" w:line="18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From time to time, we may publish or publicly disclose interim, topline or preliminary data from our nonclinical studies or clinical trials. These publications or disclosures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and business prospects. Further, disclosure of such data by us or by our competitors could result in volatility in the price of our common stock.</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the information we choose to publicly disclose regarding a particular study or clinical trial is based on what is typically extensive information, if we publicly disclose certain information, you or others may not agree with what we determine is material or otherwise appropriate information to include in our disclosure, and any information we determine not to disclose may ultimately be deemed significant with respect to future decisions, conclusions, strategies, views, activities or otherwise regarding a particular product candidate or our business.</w:t>
      </w:r>
    </w:p>
    <w:p>
      <w:pPr>
        <w:spacing w:after="0" w:line="20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and commercialization goals in the timeframes we announce and expect, the development and commercialization of our product candidates may be delayed, and our business and results of operations may be harmed.</w:t>
      </w:r>
    </w:p>
    <w:p>
      <w:pPr>
        <w:spacing w:after="0" w:line="1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For planning purposes, we sometimes estimate the timing of the accomplishment of various scientific, clinical, regulatory and other product development activities or objectives. These milestones may include our expectations regarding the commencement or completion of scientific studies and clinical trials, the submission of regulatory filings, the timing of regulatory review or approvals, or initiation of commercialization activities or objectives. From time to time, we may publicly announce the expected timing of some of these milestones, such as the completion of an ongoing clinical trial of a product candidate, the initiation of other clinical programs, receipt of marketing approval or a commercial launch of a product. The achievement of many of these milestones may be outside of our control. All of these milestones are based on a variety of assumptions which, if not realized as expected, may cause the timing of achievement of the milestones to vary considerably from our estimates, including:</w:t>
      </w:r>
    </w:p>
    <w:p>
      <w:pPr>
        <w:spacing w:after="0" w:line="208"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capital resources or capital constraints we experience;</w:t>
      </w:r>
    </w:p>
    <w:p>
      <w:pPr>
        <w:spacing w:after="0" w:line="23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trials and research and development activities, including the extent of scheduling conflicts with participating clinicians, collaborators and trial participants;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enroll and randomize patients who meet clinical trial eligibility criteria;</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approvals by the FDA and other regulatory authorities and the timing thereof;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decisions or rules issued by regulators;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materials used to manufacture our product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of our collaborators with respect to the development and commercialization of our product candidates;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securing of costs related to, and timing issues associated with, product manufacturing as well as sales and marketing activities.</w:t>
      </w:r>
    </w:p>
    <w:p>
      <w:pPr>
        <w:spacing w:after="0" w:line="2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we fail to achieve announced milestones in the timeframes we expect, the development and commercialization of our product candidates may be delayed, and our business and results of operations may be harmed.</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 of one or more of our current product candidates and we cannot be certain that we will be able to obtain regulatory approval for or commercialize any of our product candidates.</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not permitted to market our product candidates in the U.S. until we receive approval of a NDA from the FDA, or in any foreign countries until we receive the requisite approval from such countries. Obtaining FDA approval of a NDA is a complex, lengthy, expensive and uncertain process. The FDA may refuse to permit the filing of our NDA, delay, limit or deny approval of a NDA for many reasons, including, among others:</w:t>
      </w:r>
    </w:p>
    <w:p>
      <w:pPr>
        <w:spacing w:after="0" w:line="217" w:lineRule="exact"/>
        <w:rPr>
          <w:sz w:val="20"/>
          <w:szCs w:val="20"/>
          <w:color w:val="auto"/>
        </w:rPr>
      </w:pPr>
    </w:p>
    <w:p>
      <w:pPr>
        <w:jc w:val="both"/>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submit a NDA and it is reviewed by a FDA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spacing w:after="0" w:line="215" w:lineRule="exact"/>
        <w:rPr>
          <w:rFonts w:ascii="Times New Roman" w:cs="Times New Roman" w:eastAsia="Times New Roman" w:hAnsi="Times New Roman"/>
          <w:sz w:val="18"/>
          <w:szCs w:val="18"/>
          <w:color w:val="auto"/>
        </w:rPr>
      </w:pPr>
    </w:p>
    <w:p>
      <w:pPr>
        <w:ind w:left="660" w:hanging="328"/>
        <w:spacing w:after="0" w:line="268"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FDA advisory committee may recommend, or the FDA may require, a Risk Evaluation and Mitigation Strategies (</w:t>
      </w:r>
      <w:r>
        <w:rPr>
          <w:rFonts w:ascii="Times New Roman" w:cs="Times New Roman" w:eastAsia="Times New Roman" w:hAnsi="Times New Roman"/>
          <w:sz w:val="18"/>
          <w:szCs w:val="18"/>
          <w:i w:val="1"/>
          <w:iCs w:val="1"/>
          <w:color w:val="auto"/>
        </w:rPr>
        <w:t>REMS</w:t>
      </w:r>
      <w:r>
        <w:rPr>
          <w:rFonts w:ascii="Times New Roman" w:cs="Times New Roman" w:eastAsia="Times New Roman" w:hAnsi="Times New Roman"/>
          <w:sz w:val="18"/>
          <w:szCs w:val="18"/>
          <w:color w:val="auto"/>
        </w:rPr>
        <w:t>) safety program as a condition of approval or post-approval;</w:t>
      </w:r>
    </w:p>
    <w:p>
      <w:pPr>
        <w:spacing w:after="0" w:line="18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FDA advisory committee or the FDA or applicable regulatory agency may determine that there is insufficient evidence of overall effectiveness or safety in a NDA and require additional clinical studies;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applicable foreign regulatory agency may determine that the manufacturing processes or facilities of third-party contract manufacturers with which we contract do not conform to applicable requirements, including cGMPs; or</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change its approval policies or adopt new regulations.</w:t>
      </w: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regulatory approval for and commercialize any current or future drug product candidate we may develop. Any such setback in our pursuit of regulatory approval for any product candidate would have a material adverse effect on our business and prospects.</w:t>
      </w:r>
    </w:p>
    <w:p>
      <w:pPr>
        <w:spacing w:after="0" w:line="19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addition, all of our pherine product candidates will be subject to regulation as combination products, which means that they are composed of both a drug product and device product. Although we do not contemplate doing so, if marketed individually, each component would be subject to different regulatory pathways and reviewed by different centers within the FDA. As drug-device combination candidates, each will require review and coordination by FDA’s drug and device centers prior to approval, which may delay approval. In the U.S., a combination product with a drug primary mode of action generally would be reviewed and approved pursuant to the drug approval processes under the Federal Food, Drug and Cosmetic Act of 1938. In reviewing the NDA application for such a product, however, FDA reviewers in the drug center could consult with their counterparts in the device center to ensure that the device component of the combination product met applicable requirements regarding safety, effectiveness, durability and performance. Under FDA regulations, combination products are subject to cGMP requirements applicable to both drugs and devices, including the Quality System regulations applicable to medical devices. Problems associated with the device component of the combination product candidate may delay or prevent approval.</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regulatory approval, if obtained.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Undesirable side effects caused by any of our product candidates could cause us or regulatory authorities to interrupt, delay or halt clinical trials and could result in a more restrictive label or the delay or denial of regulatory approval by the FDA or comparable foreign regulatory authorities. We may also observe safety or tolerability issues with our product candidates in ongoing or future clinical trials. Many compounds that initially showed promise in clinical or earlier-stage testing are later found to cause undesirable or unexpected side effects that prevent further development of the compound. Results of future clinical trials of our product candidates could reveal a high and unacceptable severity and prevalence of side effects or unexpected characteristics, despite a favorable tolerability profile observed in earlier-stage testing. Moreover, clinical trials of our product candidates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w:t>
      </w:r>
    </w:p>
    <w:p>
      <w:pPr>
        <w:spacing w:after="0" w:line="22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If unacceptable side effects arise in the development of our product candidates, we, the FDA or comparable foreign regulatory authorities, the IRBs, or independent ethics committees at the institutions in which our trials are conducted, could suspend, limit or terminate our clinical trials, or the independent safety monitoring committee could recommend that we suspend, limit or terminate our trials, or the FDA or comparable foreign regulatory authorities could order us to cease clinical trials or deny approval of our product candidates for any or all targeted indications. Treatment-emergent side effects that are deemed to be drug-related could delay recruitment of clinical trial subjects or may cause subjects that enroll in our clinical trials to discontinue participation in our clinical trials. In addition, these side effects may not be appropriately recognized or managed by the treating medical staff. We may need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harm to patients that are administered our product candidates. Any of these occurrences may adversely affect our business, financial condition and prospects significantly.</w:t>
      </w:r>
    </w:p>
    <w:p>
      <w:pPr>
        <w:spacing w:after="0" w:line="22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may also be required to engage in similar actions, such as patient education, certification of health care professionals or specific monitoring, if we or others later identify undesirable side effects caused by any product. Other potentially significant negative consequences associated with adverse events include:</w:t>
      </w:r>
    </w:p>
    <w:p>
      <w:pPr>
        <w:spacing w:after="0" w:line="208"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suspend marketing of a product, or we may decide to remove such product from the marketplace;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modify their approvals of our product;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post-marketing studies;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our product is administered;</w:t>
      </w:r>
    </w:p>
    <w:p>
      <w:pPr>
        <w:spacing w:after="0" w:line="23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fines, injunctions, or the imposition of criminal or civil penalties, or be sued and held liable for harm caused to subjects or patients;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may become less competitive,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of these events could diminish the usage or otherwise limit the commercial success of our product candidates and prevent us from achieving or maintaining market acceptance of our product candidates, if approved by the FDA or other regulatory authorities.</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are ultimately regulated as controlled substances, we, our CDMOs,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Before we can commercialize our product candidates in the U.S. or any market outside the U.S., the U.S. Drug Enforcement Administration (</w:t>
      </w:r>
      <w:r>
        <w:rPr>
          <w:rFonts w:ascii="Times New Roman" w:cs="Times New Roman" w:eastAsia="Times New Roman" w:hAnsi="Times New Roman"/>
          <w:sz w:val="18"/>
          <w:szCs w:val="18"/>
          <w:i w:val="1"/>
          <w:iCs w:val="1"/>
          <w:color w:val="auto"/>
        </w:rPr>
        <w:t>DEA</w:t>
      </w:r>
      <w:r>
        <w:rPr>
          <w:rFonts w:ascii="Times New Roman" w:cs="Times New Roman" w:eastAsia="Times New Roman" w:hAnsi="Times New Roman"/>
          <w:sz w:val="18"/>
          <w:szCs w:val="18"/>
          <w:color w:val="auto"/>
        </w:rPr>
        <w:t>) or its foreign counterpart may need to determine whether such product candidates will be considered to be a controlled substance, taking into account the recommendation of the FDA or its foreign counterpart,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the case may be.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Although we currently do not know whether the DEA or any foreign counterpart will consider any of our current or future product candidates to be controlled substances, we cannot yet give any assurance that such product candidates will not be regulated as controlled substances.</w:t>
      </w:r>
    </w:p>
    <w:p>
      <w:pPr>
        <w:spacing w:after="0" w:line="22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If any of our product candidates are regulated as controlled substances, depending on the DEA controlled substance schedule in which the product candidates are placed or that of its foreign counterpart, we, our CDMOs, and any future distributors,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or a foreign counterpart of the DEA as the case may be. Moreover, if any of our product candidates are regulated as controlled substances, we and our CDMOs would be subject to initial and periodic DEA inspection. If we or our CDMOs are not able to obtain or maintain any necessary DEA registrations or comparable foreign registrations, we may not be able to commercialize any product candidates that are deemed to be controlled substances or we may need to find alternative CDMOs, which would take time and cause us to incur additional costs, delaying or limiting our commercialization efforts.</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or its foreign counterparts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20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concentrated a significant portion of our research and development efforts on the treatment of neuropsychiatric and neurological disorders, a field that faces certain challenges in drug development.</w:t>
      </w:r>
    </w:p>
    <w:p>
      <w:pPr>
        <w:spacing w:after="0" w:line="19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have focused a significant portion of our research and development efforts on addressing neuropsychiatric and neurological disorders. Efforts by pharmaceutical companies in this field have faced certain challenges in drug development. In particular, many neuropsychiatric disorders such as SAD and MDD rely on subjective assessments by clinicians and subjective patient-reported outcomes as key efficacy endpoints. This makes them more difficult to evaluate than indications with more objective endpoints. Furthermore, these indications are often subject to a placebo effect, which may make it more challenging to isolate the beneficial effects of our neuropsychiatric product candidates. There can be no guarantee that we will successfully overcome these challenges with our neuropsychiatric product candidates or that we will not encounter other challenges in the development of our other product candidates.</w:t>
      </w:r>
    </w:p>
    <w:p>
      <w:pPr>
        <w:spacing w:after="0" w:line="2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regulatory approval, it may fail to achieve the degree of market acceptance by physicians, patients, third-party payors and others in the medical community necessary for commercial success, in which case we may not generate significant revenues or become profitable.</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never commercialized a product, and even if any of our product candidates is approved by the appropriate regulatory authorities for marketing and sale, it may nonetheless fail to achieve sufficient market acceptance by physicians, patients, third-party payors and others in the medical community. Certain of the indications for our product candidates have well-established standards of care that physicians, patients and payors are familiar with and, in some cases, are available generically. Even if our product candidates are successful in registrational clinical trials, they may not be successful in displacing these current standards of care, if any, if we are unable to demonstrate superior efficacy, safety, ease of administration and/or cost-effectiveness. For example, physicians may be reluctant to take their patients off their current medications and switch their treatment regimen to our product candidates. Further, patients often acclimate to the treatment regimen that they are currently taking and do not want to switch unless their physicians recommend switching products or they are required to switch due to lack of coverage and adequate reimbursement. Even if we are able to demonstrate our product candidates’ safety and efficacy to the FDA and other regulators, safety or efficacy concerns in the medical community may hinder market acceptance.</w:t>
      </w:r>
    </w:p>
    <w:p>
      <w:pPr>
        <w:spacing w:after="0" w:line="2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product candidates may require significant resources, including management time and financial resources, and may not be successful. For example, even if fasedienol ultimately receives regulatory approval, we may have difficulty in convincing the medical community that fasedienol has the potential to deliver promising therapeutic benefits above and beyond antidepressants. If any product candidate is approved but does not achieve an adequate level of market acceptance, we may not generate significant revenues and we may not become profitable. The degree of market acceptance of our product candidates, if approved for commercial sale, will depend on a number of factors, including:</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the product compared to any competitive therapies;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 second- or third-line therapy;</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ability of any future collaborators, to offer the product for sale at competitive prices;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convenience and ease of administration compared to alternative treatments;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physicians to prescribe, the product;</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the product;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adequacy of coverage and reimbursement from government payors, managed care plans and other third-party payors.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failure by one or more of our product candidates that obtains regulatory approval to achieve market acceptance or commercial success would adversely affect our business prospects.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commercialize other product candidates, we may be unable to grow our business and our ability to achieve our strategic objectives would be impaired.</w:t>
      </w:r>
    </w:p>
    <w:p>
      <w:pPr>
        <w:spacing w:after="0" w:line="1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Although the development and commercialization of our most advanced pherine product candidate, fasedienol, is currently our primary focus, as part of our longer-term growth strategy, we plan to develop other of our clinical stage pherine product candidates. We intend to evaluate internal opportunities from our existing pherine pipeline, and also may choose to in-license or acquire other product candidates to treat patients suffering from other disorders with significant unmet medical needs and limited treatment options. These other potential product candidates will require additional, time-consuming development efforts prior to commercial sale, including manufacturing, preclinical studies, clinical trials and approval by the FDA and applicable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successfully commercialized or widely accepted in the marketplace or be more effective than other commercially available alternatives.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we intend to devote substantial capital and resources for basic research to discover and identify additional pherine product candidates. These research programs require substantial technical, financial and human resources, whether or not any product candidates are ultimately identified. Our research programs may initially show promise in identifying potential pherine product candidates, yet fail to yield product candidates for clinical development for many reasons, including the following:</w:t>
      </w:r>
    </w:p>
    <w:p>
      <w:pPr>
        <w:spacing w:after="0" w:line="204"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product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that we develop may nevertheless be covered by third parties’ patents or other exclusive rights;</w:t>
      </w:r>
    </w:p>
    <w:p>
      <w:pPr>
        <w:spacing w:after="0" w:line="23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w:t>
      </w:r>
    </w:p>
    <w:p>
      <w:pPr>
        <w:spacing w:after="0" w:line="23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the future, we may also seek to in-license or acquire product candidates or the underlying technology. The process of proposing, negotiating and implementing a license or acquisition is lengthy and complex. Other companies, including some with substantially greater financial, marketing and sales resources, may compete with us for the license or acquisition of product candidates.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should we seek to acquire additional product candidates, future acquisitions may entail numerous operational and financial risks, including:</w:t>
      </w:r>
    </w:p>
    <w:p>
      <w:pPr>
        <w:spacing w:after="0" w:line="25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management’s time and attention to develop acquired products or technologies;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dilutive issuances of securities or depletion of cash to pay for acquisitions;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combining the operations and personnel of any acquired businesses with our operations and personnel;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motivate key employees of any acquired businesses.</w:t>
      </w:r>
    </w:p>
    <w:p>
      <w:pPr>
        <w:spacing w:after="0" w:line="2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we are unsuccessful in identifying and developing additional product candidates, either through internal development or licensing or acquisition from third parties, our potential for growth and achieving our strategic objectives may be impaired.</w:t>
      </w:r>
    </w:p>
    <w:p>
      <w:pPr>
        <w:spacing w:after="0" w:line="17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The number of patients with the neuroscience disorders for which we are developing our product candidates has not been established with precision. If the actual number of patients with the disorders we elect to pursue with our product candidates is smaller than we anticipate, we may have difficulties in enrolling patients in our clinical trials, which may delay or prevent development of our product candidates. Even if such product candidates are successfully developed and approved, the markets for our products may be smaller than we expect and our revenue potential and ability to achieve profitability may be materially adversely affected.</w:t>
      </w:r>
    </w:p>
    <w:p>
      <w:pPr>
        <w:spacing w:after="0" w:line="22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neuroscience pipeline includes product candidates for a variety of conditions and disorders. There is no precise method of establishing the actual number of patients with any of these conditions and disorders in any geography over any time period. With respect to many of the indications in which we have developed, are developing, or plan to develop our product candidates, we have estimates of the prevalence of the disease or disorder. Our estimates as to prevalence may not be accurate, and the actual prevalence or addressable patient population for some or all of those indications, or any other indication that we elect to pursue, may be significantly smaller than our estimates. In estimating the potential prevalence of indications we are pursuing, or may in the future pursue, including, among others, our estimates as to the prevalence of SAD, MDD and vasomotor symptoms (hot flashes) due to menopause, we apply assumptions to available information that may not prove to be accurate. In each case, there is a range of estimates in the published literature and in marketing studies, which include estimates within the range that are lower than our estimates. The actual number of patients with these and other disease indications may, however, be significantly lower than we believe. Even if our prevalence estimates are correct, our product candidates may be developed for only a subset of patients with the relevant disease or disorder or our products, if approved, may be indicated for or used by only a subset. In the event the number of patients with the diseases and disorders we are studying is significantly lower than we expect, we may have difficulties in enrolling patients in our clinical trials, which may delay or prevent development of our product candidates. If any of our product candidates are approved and our prevalence estimates with respect to any indication or our other market assumptions are not accurate, the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markets for our product candidates for these indications may be smaller than we anticipate, which could limit our revenues and our ability to achieve profitability or to meet our expectations with respect to revenues or profits.</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Competitive products may reduce or eliminate the commercial opportunity for our product candidates, if approved. If our competitors develop technologies or product candidates more rapidly than we do, or their technologies or product candidates are more effective and/or safer than ours, our ability to develop and successfully commercialize our product candidates may be adversely affected.</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clinical and commercial landscapes for the treatment of neuroscience disorders, including those we are pursuing, are highly competitive and subject to rapid and significant technological change. We face competition with respect to our indications for our product candidates and will face competition with respect to any other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drug candidates for the treatment of the indications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believe that a significant number of product candidates are currently under development for certain of the same indications we are currently pursuing, and some or all may become commercially available in the future for the treatment of conditions for which we are trying or may try to develop product candidates. Our potential competitors include large pharmaceutical and biotechnology companies, specialty pharmaceutical and generic drug companies, academic institutions, government agencies and research institutions. See the section entitled “Competition” in our Annual Report on Form 10-K for the fiscal year ended March 31, 2025, as filed with the SEC on June 17, 2025, for examples of the competition that our product candidates face.</w:t>
      </w:r>
    </w:p>
    <w:p>
      <w:pPr>
        <w:spacing w:after="0" w:line="2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most cases, we do not currently plan to run head-to-head clinical trials evaluating our product candidates against the current standards of care, which may make it more challenging for our product candidates to compete against the current standards of care due to the lack of head-to-head clinical trial data.</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Accordingly, our competitors may be more successful than we may be in obtaining regulatory approval for therapies and achieving widespread market acceptance. Our competitors’ products may be more effective, or more effectively marketed and sold, than any product candidate we may commercialize and may render our therapies obsolete or non-competitive before we can recover development and commercialization expenses. If any of our product candidates are approved, it could compete with a range of therapeutic treatments that are in development. In addition, our competitors may succeed in developing, acquiring or licensing technologies and drug products that are more effective or less costly than our product candidates, which could render our product candidates obsolete and noncompetitive.</w:t>
      </w:r>
    </w:p>
    <w:p>
      <w:pPr>
        <w:spacing w:after="0" w:line="2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If we obtain approval for any of our product candidates, we may face competition based on many different factors, including the efficacy, safety and tolerability of our products, the ease with which our products can be administered, the timing and scope of regulatory approvals for these products, the availability and cost of manufacturing, marketing and sales capabilities, price, reimbursement coverage and patent position. Existing and future competing products could present superior treatment alternatives, including being more effective, safer, less expensive or marketed and sold more effectively than any products we may develop. Competitive products may make any products we develop obsolete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2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addition, our competitors may obtain patent protection, regulatory exclusivities or FDA approval and commercialize products more rapidly than we do, which may impact future approvals or sales of any of our product candidates that receive regulatory approval. If the FDA approves the commercial sale of any product candidate, we will also be competing with respect to marketing capabilities and manufacturing efficiency. We expect competition among products will be based on product efficacy and safety, the timing and scope of regulatory approvals, availability of supply, marketing and sales capabilities, product price, reimbursement coverage by government and private third-party payors, regulatory exclusivities and patent position. Our profitability and financial position will suffer if our product candidates receive regulatory approval but cannot compete effectively in the marketplace.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and other early-stage companies may also prove to be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significant competitors, particularly through collaborative arrangements with large and established companies. These third parties compete with us in recruiting and retaining qualified scientific and management personnel and establishing clinical trial sites, as well as in acquiring technologies complementary to, or necessary for, our programs.</w:t>
      </w:r>
    </w:p>
    <w:p>
      <w:pPr>
        <w:spacing w:after="0" w:line="1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our sales, marketing and distribution capability on our own or through collaborations with marketing partners, we will not be successful in commercializing our product candidates.</w:t>
      </w:r>
    </w:p>
    <w:p>
      <w:pPr>
        <w:spacing w:after="0" w:line="1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currently have no marketing, sales or distribution capabilities. We intend to establish a sales and marketing capabilities, either on our own or in collaboration with third parties, with technical expertise and supporting distribution capabilities to commercialize one or more of our product candidates that may receive regulatory approval in key territories. These efforts will require substantial additional resources, some or all of which may be incurred in advance of any approval of the product candidate. Any failure or delay in the development of our or third parties’ internal sales, marketing and distribution capabilities would adversely impact the commercialization of our product candidates.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 candidates on our own include:</w:t>
      </w:r>
    </w:p>
    <w:p>
      <w:pPr>
        <w:spacing w:after="0" w:line="25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sufficient capital resources available to us in a timely manner, if at all, and on commercially reasonable terms;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leadership and sales personnel;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persuade adequate numbers of physicians to prescribe any future products;</w:t>
      </w:r>
    </w:p>
    <w:p>
      <w:pPr>
        <w:spacing w:after="0" w:line="25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With respect to our existing and future product candidates, we may choose to collaborate with third parties that have direct sales forces and established distribution systems to serve as an alternative to building or to augment our own sales force and distribution systems. In that case, our future product revenue would be lower than if we directly marketed or sold our product candidates, if approved, on our own. In addition, any revenue we receive will depend in whole or in part upon the efforts of these third parties, which may not be successful and are generally not within our control. If we are not successful in commercializing any approved products, our future product revenue will suffer and we may incur significant additional losses.</w:t>
      </w:r>
    </w:p>
    <w:p>
      <w:pPr>
        <w:spacing w:after="0" w:line="2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we do not establish sales and marketing capabilities successfully, either on our own or in collaboration with third parties, we will not be successful in commercializing our product candidates.</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or any of our future collaborators could divert our resources and attention, cause us to incur substantial liabilities and limit commercialization of our product candidates.</w:t>
      </w:r>
    </w:p>
    <w:p>
      <w:pPr>
        <w:spacing w:after="0" w:line="19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the use of our product candidates by us and any collaborators in clinical trials, and the sale of these product candidates, if approved, in the future, may expose us to liability claims. We face an inherent risk of product liability lawsuits related to the use of our product candidates in patients and will face an even greater risk if product candidates are approved by regulatory authorities and introduced commercially. Product liability claims may be brought against us by participants enrolled in our clinical trials, patients, health care providers, pharmaceutical companies, our collaborators or others using, administering or selling any of our future approved products. If we cannot successfully defend ourselves against any such claims, we may incur substantial liabilities or be required to limit commercialization of our product candidates. Regardless of the merits or eventual outcome, liability claims may result in:</w:t>
      </w:r>
    </w:p>
    <w:p>
      <w:pPr>
        <w:spacing w:after="0" w:line="213"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of our future approved products;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costs;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or costly settlements with, patients or other claimants;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a change in the indications for which they may be used;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Although the clinical trial process is designed to identify and assess potential side effects, clinical development does not always fully characterize the safety and efficacy profile of a new medicine, and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 If any of our product candidates are approved for commercial sale, we will be highly dependent upon consumer perceptions of us and the safety and quality of our products. We could be adversely affected if we are subject to negative publicity associated with illness or other adverse effects resulting from patients’ use or misuse of our products or any similar products distributed by other companies.</w:t>
      </w:r>
    </w:p>
    <w:p>
      <w:pPr>
        <w:spacing w:after="0" w:line="22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Although we maintain product liability insurance coverage consistent with industry norms, including clinical trial liability, this insurance may not fully cover potential liabilities that we may incur. The cost of any product liability litigation or other proceeding, even if resolved in our favor, could be substantial. We will need to increase our insurance coverage if we commercialize any product that receives regulatory approval.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spacing w:after="0" w:line="2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Cyberattacks or other failures in our telecommunications or information technology systems, or those of our collaborators, CDMOs, CROs, third-party logistics providers, distributors or other contractors or consultants, could result in information theft, data corruption and significant disruption of our business operations.</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along with our collaborators, CDMOs, CROs, third-party logistics providers, distributors and other contractors and consultants, utilize information technology (</w:t>
      </w:r>
      <w:r>
        <w:rPr>
          <w:rFonts w:ascii="Times New Roman" w:cs="Times New Roman" w:eastAsia="Times New Roman" w:hAnsi="Times New Roman"/>
          <w:sz w:val="18"/>
          <w:szCs w:val="18"/>
          <w:i w:val="1"/>
          <w:iCs w:val="1"/>
          <w:color w:val="auto"/>
        </w:rPr>
        <w:t>IT</w:t>
      </w:r>
      <w:r>
        <w:rPr>
          <w:rFonts w:ascii="Times New Roman" w:cs="Times New Roman" w:eastAsia="Times New Roman" w:hAnsi="Times New Roman"/>
          <w:sz w:val="18"/>
          <w:szCs w:val="18"/>
          <w:color w:val="auto"/>
        </w:rPr>
        <w:t>) systems and networks to process, transmit and store electronic information, including confidential information such as proprietary business information and personal information of our employees and contractors, in connection with our business activities. As use of digital technologies has increased, our IT systems and those of our third-party service providers, strategic partners and other contractors or consultants are increasingly vulnerable to attack, damage and interruption from cyber incidents, including third parties gaining access to employee accounts using stolen or inferred credentials, computer malware (e.g., ransomware), viruses, malicious code, spamming, phishing attacks and other social engineering schemes, employee theft or misuse, human error, fraud, denial or degradation of service attacks, sophisticated nation-state and nation-state-supported actors, natural disasters, terrorism, war, telecommunication and electrical failures or other threats. Deliberate attacks and attempts to gain unauthorized access to computer systems and networks, have increased in frequency and sophistication. These threats pose a risk to the security of our, our collaborators’, CROs’, third-party logistics providers’, distributors’ and other contractors’ and consultants’ systems and networks, and the confidentiality, availability and integrity of our data. We may not be successful in preventing or identifying cyberattacks and may experience security breaches that may remain undetected for an extended period. Even if identified, we may be unable to adequately investigate or successfully mitigate their effects due to attackers increasingly using tools and techniques that are designed to circumvent controls, to avoid detection, and to remove or obfuscate forensic evidence. Like other companies, we have on occasion experienced, and will continue to experience, threats to our data and systems, including malicious codes and viruses, phishing, business email compromise attacks or other cyberattacks. Similarly, our collaborators, CROs, third-party logistics providers, distributors and other contractors and consultants may not be successful in protecting our clinical and other data that is stored on their systems. Any cyberattack, data breach or destruction or loss of data could result in a violation of applicable U.S. and international privacy, data protection and other laws and subject us to litigation and governmental investigations and proceedings by federal, state and local regulatory entities in the U.S. and by international regulatory entities, resulting in exposure to material civil and/or criminal liability. Further, our general liability insurance and corporate risk program may not cover all potential claims to which we are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exposed and may not be adequate to indemnify us for all liability that may be imposed, which could have a material adverse effect on our business and prospects. For example, the loss of clinical trial data from completed or ongoing clinical trials for any of our product candidates could result in delays in our development and regulatory approval efforts and significantly increase our costs to recover or reproduce the data. In addition, we may suffer reputational harm or face litigation or adverse regulatory action as a result of cyberattacks or other data security breaches and may incur significant additional expense to implement further data protection measures.</w:t>
      </w: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product candidates will require substantial additional cash to fund expenses. We may decide to collaborate with pharmaceutical and biotechnology companies for the development and potential commercialization of those product candidates.</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may derive revenue from research and development fees, license fees, milestone payments and royalties under any collaborative arrangement into which we enter. However, our ability to generate revenue from such arrangements will depend on our collaborators’ abilities to successfully perform the functions assigned to them in these arrangements. In addition, our collaborators have the right to abandon research or development projects and terminate applicable agreements, including funding obligations, prior to or upon the expiration of the agreed upon terms. As a result, we can expect to relinquish some or all of the control over the future success of a product candidate that we license to a third party in the territories included in the licenses.</w:t>
      </w: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additional definitive agreements for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nonclinical and clinical trials, the likelihood of approval by the FDA or similar regulatory authorities outside the U.S.,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will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any future collaboration that we enter into may not be successful. The success of our current and future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markets outside of the U.S., where we would be subject to additional regulatory burdens and other risks and uncertainties.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future profitability may depend, in part, on our ability to develop and commercialize our product candidates with third-party collaborators in markets outside of the U.S. If we develop and commercialize our product candidates in markets outside of the U.S., we would be subject to additional risks and uncertainties, including:</w:t>
      </w:r>
    </w:p>
    <w:p>
      <w:pPr>
        <w:spacing w:after="0" w:line="196"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product candidates;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because we are relying on third parties;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25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different standards of patentability and different availability of prior art in some foreign countries as compared with the U.S.;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of our product candidates outside of the U.S. could also be adversely affected by the imposition of governmental controls, political and economic instability, trade restrictions and changes in tariffs.</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9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Managing Our Business and Operations</w:t>
      </w:r>
    </w:p>
    <w:p>
      <w:pPr>
        <w:spacing w:after="0" w:line="2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our senior managerial personnel, third-party consultants and others and our ability to compete in the biopharmaceutical industry depends upon our ability to retain such highly qualified personnel. The loss of their services or our inability to hire such personnel could materially harm our business.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success depends, and will likely continue to depend, upon our ability to attract and retain the services of our executive officers, senior managerial and other senior personnel within our organization. Our executive officers and other senior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employees may terminate their employment with us at any time. The loss of their services might impede the achievement of our operational and strategic objectives.</w:t>
      </w:r>
    </w:p>
    <w:p>
      <w:pPr>
        <w:spacing w:after="0" w:line="20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Moreover, our ability to compete in the biopharmaceutical industry depends upon our ability to attract and retain highly qualified managerial, scientific, medical, regulatory and technical personnel. In particular, we will need to retain and, in some cases, hire, qualified personnel with expertise in clinical development and operations, preclinical research and development, manufacturing, quality management, medical and regulatory affairs, finance and accounting and other areas in connection with the continued development and commercialization of our product candidates. We currently rely, and for the foreseeable future will continue to rely, on third-party consultants and advisors, including scientific and clinical advisors, to assist us in formulating certain of our research and development objectives and activities as well as the development of certain of our commercialization strategies.</w:t>
      </w:r>
    </w:p>
    <w:p>
      <w:pPr>
        <w:spacing w:after="0" w:line="22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industry has experienced a high rate of turnover of management personnel in recent years. Replacing executive officers or other key employees may be difficult and may take an extended period of time because of the limited number of individuals in our industry with the breadth of skills and experience required to develop, gain regulatory approval of and commercialize products successfully and the culture fit to be a leader in our organization. Competition to hire from this limited pool is intense, and we may be unable to hire, train, retain or motivate these additional key personnel on acceptable terms given the competition among numerous pharmaceutical and biotechnology companies for similar personnel. We also experience competition for the hiring of scientific and clinical personnel from universities and research institutions. Further, inflationary pressure may increase our costs, including employee compensation costs or result in employee attrition to the extent our compensation does not keep up with inflation, particularly if our competitors’ compensation does.</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can be no assurance that the services of third-party consultants and advisors will continue to be available to us on a timely basis when needed, that we will be able to manage our existing consultants and advisors or that we can find qualified replacements on economically reasonable terms, or at all. Our consultants and advisors may be employed by other entities and may have commitments under consulting or advisory contracts with those entities that may limit their availability to us. If we are unable to continue to attract and retain highly qualified consultants and advisors, our ability to develop and commercialize our product candidates will be limited.</w:t>
      </w:r>
    </w:p>
    <w:p>
      <w:pPr>
        <w:spacing w:after="0" w:line="20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hire and/or retain a sufficient number of employees or employees with the required expertise to develop our product candidates or operate our business successfully.</w:t>
      </w:r>
    </w:p>
    <w:p>
      <w:pPr>
        <w:spacing w:after="0" w:line="19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As of June 30, 2025, we had 57 full-time employees. Our focus on the development of our lead product candidates requires us to optimize cash utilization and to manage and operate our business in a highly efficient manner. We cannot assure you that we will be able to hire and/or retain adequate staffing levels to develop our product candidates or run our operations and/or to accomplish all of the objectives that we otherwise would seek to accomplish. If we are not able to effectively expand our organization by hiring new qualified employees, our clinical trials may be delayed or terminated, we may not be able to successfully execute the tasks necessary to further develop and commercialize our product candidates and, accordingly, may not achieve our development and commercialization goals.</w:t>
      </w: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CDMOs and CROs may engage in misconduct or other improper activities, including non-compliance with regulatory standards and requirements, which could cause significant liability for us and harm our reputation.</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CDMOs and CROs may engage in fraudulent conduct or other illegal activity.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Misconduct by those parties could include intentional, reckless and/or negligent conduct or disclosure of unauthorized activities that violates:</w:t>
      </w:r>
    </w:p>
    <w:p>
      <w:pPr>
        <w:spacing w:after="0" w:line="222" w:lineRule="exact"/>
        <w:rPr>
          <w:sz w:val="20"/>
          <w:szCs w:val="20"/>
          <w:color w:val="auto"/>
        </w:rPr>
      </w:pPr>
    </w:p>
    <w:p>
      <w:pPr>
        <w:ind w:left="660" w:right="2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and trial protocols or the FDA regulations or similar regulations of comparable non-U.S. regulatory authorities, including those laws requiring the reporting of true, complete and accurate information to such authorities;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standards;</w:t>
      </w:r>
    </w:p>
    <w:p>
      <w:pPr>
        <w:spacing w:after="0" w:line="25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healthcare fraud and abuse laws and regulations and similar laws and regulations established and enforced by comparable non-U.S. regulatory authorities; and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require the reporting of financial information or data accurately.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of information obtained in the course of clinical trials or creating fraudulent data in our preclinical studies or clinical trials, which could result in regulatory sanctions and cause serious harm to our reputation. Activities subject to these laws also involve the improper use or misrepresentation of information obtained in the course of clinical trials, creating fraudulent data in our preclinical studies or clinical trials or illegal misappropriation of product materials,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civil, criminal and administrative penalties, damages, monetary fines, disgorgement, integrity oversight and reporting obligations, possible exclusion from participation in Medicare, Medicaid and other federal healthcare programs, contractual damages, reputational harm, diminished profits and future earnings, and curtailment of our operations, any of which could have a material adverse effect on our ability to operate our business and our results of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expand our organization, and as a result, we may encounter difficulties in managing our growth, which could disrupt our operations.</w:t>
      </w:r>
    </w:p>
    <w:p>
      <w:pPr>
        <w:spacing w:after="0" w:line="2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expect to continue to experience significant growth in the number of our employees and the scope of our operations. To manage these growth activities, we must continue to implement and improve our managerial, operational and financial systems, expand our facilities and continue to recruit and train additional qualified personnel. Our management may need to devote a significant amount of their attention to managing these growth activities. Due to our limited financial resources, our limited operating history and the limited experience of our management team in managing a company with such anticipated growth, we may not be able to effectively manage the expansion or any necessary relocation of our operations, retain key employees, or identify, recruit and train additional qualified personnel. Our inability to manage the expansion or any necessary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domestic or global economic or political conditions could adversely affect our business, financial condition or results of operations.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results of operations could be adversely affected by either domestic or global political conditions, as well as general conditions in the domestic or global economy and in the U.S. and global financial and stock markets. Domestic and global financial and political crises cause extreme volatility and disruptions in the capital and credit markets. A severe or prolonged economic downturn, such as the economic downturn triggered by the COVID-19 pandemic, could result in a variety of risks to our business, including, weakened demand for our product candidates and our ability to raise additional capital when needed on acceptable terms, if at all. A weak or declining domestic or global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CDMOs, or that otherwise disrupted operations, it may be difficult or, in certain cases, impossible for us to continue our business for a substantial period of time. The disaster recovery and business continuity plan we have in place may prove inadequate in the event of a serious disaster or similar event. We may incur substantial</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as a result of the limited nature of our disaster recovery and business continuity plans, which could have a material adverse effect on our business.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Remote working arrangements could significantly increase our digital and cybersecurity risks.</w:t>
      </w:r>
    </w:p>
    <w:p>
      <w:pPr>
        <w:spacing w:after="0" w:line="25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Most of our employees are geographically dispersed from our headquarters facility in South San Francisco and now routinely work remotely. With the continuing shift to remote working, and the use of virtual board and executive management meetings, cybersecurity risks are exponentially greater, including increased risk of phishing and other cybersecurity attacks as well as increased risk of unauthorized dissemination of sensitive personal information or proprietary or confidential information about us or our customers, employees, or business partners. Despite our cybersecurity measures, we may be more susceptible to security breaches and other security incidents because we have less capability to implement, monitor, and enforce our information security and data protection policies. Techniques or software used to gain unauthorized access, and/or disable, degrade, or harm our systems may be difficult to detect for prolonged periods of time, and we may be unable to anticipate these techniques or put in place protective or preventive measures. The damage or disruption of our systems, or the theft or compromise of our technology, data, or intellectual property, may negatively impact our business, financial condition and results of operations, reputation, stock price and long-term value, which could adversely affect our business.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politics in the U.S. could diminish the value of the pharmaceutical industry, thereby diminishing the value of our securities.</w:t>
      </w:r>
    </w:p>
    <w:p>
      <w:pPr>
        <w:spacing w:after="0" w:line="2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current political environment in the U.S. is volatile, and recent or future regulatory changes, especially at the FDA, have resulted, and may continue to result, in uncertainty throughout the pharmaceutical industry and, have an adverse effect on our business and the value of our securities. This political and regulatory uncertainty may receive increasing publicity which, in turn, may cause the investing public to reduce the perceived value of pharmaceutical companies. Any decrease in the overall perception of the pharmaceutical industry may have an adverse impact on our share price and may limit our ability to raise capital needed to continue our drug development programs.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assist in conducting our clinical trials. If they do not perform satisfactorily, we may not be able to obtain regulatory approval or commercialize our product candidates, or such approval or commercialization may be delayed, and our business could be substantially harmed.</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relied upon and plan to continue to rely on third parties, such as CROs, clinical data management organizations, medical institutions and clinical investigators, to augment our internal personnel in the conduct of our clinical trials and expect to rely on these third parties to augment our efforts to conduct clinical trials of any product candidate that we develop. Our ability to complete clinical trials in a timely fashion depends on a number of key factors. These factors include protocol design, regulatory and IRB or ethics committee approval, patient enrollment rates and compliance with GCPs. In most cases, we use the services of third parties, including CROs, to carry out many of clinical trial-related activities and rely on such parties to accurately report their results. Our reliance on third parties for clinical development activities may impact or limit our control over the timing, conduct, expense and quality of our clinical trials. Moreover, the FDA and certain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The FDA and comparable foreign regulatory authorities enforce these GCPs through periodic inspections of clinical trial sponsors, principal investigators, clinical trial sites and IRBs.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U.S. Similar requirements may exist in foreign jurisdictions.</w:t>
      </w:r>
    </w:p>
    <w:p>
      <w:pPr>
        <w:spacing w:after="0" w:line="23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remain responsible for ensuring that each of our trials is conducted in accordance with the applicable protocol, legal and regulatory requirements and scientific standards. Our failure, or the failure of our third-party contract manufacturers, to comply with applicable protocol, legal and regulatory requirements and scientific standards could result in, among other things, rejection of our clinical data, sanctions being imposed on us, including clinical holds, a refusal to file determination by the FDA, receipt of a complete response letter (</w:t>
      </w:r>
      <w:r>
        <w:rPr>
          <w:rFonts w:ascii="Times New Roman" w:cs="Times New Roman" w:eastAsia="Times New Roman" w:hAnsi="Times New Roman"/>
          <w:sz w:val="18"/>
          <w:szCs w:val="18"/>
          <w:i w:val="1"/>
          <w:iCs w:val="1"/>
          <w:color w:val="auto"/>
        </w:rPr>
        <w:t>CRL</w:t>
      </w:r>
      <w:r>
        <w:rPr>
          <w:rFonts w:ascii="Times New Roman" w:cs="Times New Roman" w:eastAsia="Times New Roman" w:hAnsi="Times New Roman"/>
          <w:sz w:val="18"/>
          <w:szCs w:val="18"/>
          <w:color w:val="auto"/>
        </w:rPr>
        <w:t>), fines, injunctions, civil penalties, delays, suspension or withdrawal of approvals, license revocation, seizures or recalls of product candidates, operating restrictions and criminal prosecutions, any of which could significantly affect our ability to achieve regulatory approval of our product candidates. If we or our third-party clinical trial providers or third-party CROs do not successfully carry out these clinical activities, our clinical trials or the potential regulatory approval of a product candidate may be delayed or be unsuccessful. Additionally, if we or our third-party contractors fail to comply with applicable GCPs, the clinical data generated in our clinical trials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may be deemed unreliable and the FDA or comparable foreign regulatory authorities may require us to perform additional clinical trials before approving our product candidates, which would delay the regulatory approval process. We cannot be certain that, upon inspection, the FDA or comparable foreign regulatory authorities will determine that any of our clinical trials comply with GCPs. We are also required to register certain clinical trials and post the results of completed clinical trials on a government-sponsored database, ClinicalTrials.gov, within certain timeframes. Failure to do so can result in fines, adverse publicity and civil and criminal sanctions.</w:t>
      </w:r>
    </w:p>
    <w:p>
      <w:pPr>
        <w:spacing w:after="0" w:line="22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Furthermore, the third parties conducting clinical trials on our behalf are not our employees, and except for remedies available to us under our agreements with such independent contractors, we cannot control whether or not they devote sufficient time, skill and resources to our ongoing development programs. Moreover, many CROs, including some of those that we have engaged to conduct our clinical trials, are experiencing enrollment challenges as a result of, among other things, high employee turnover driven by the post-COVID macroeconomic environment and the inexperience of new employees. Furthermore, at clinical trial sites, the availability of staff and trial participants has been limited due to a decrease in the number of clinical investigative sites across the globe. Accordingly, enrollment and randomization of subjects in some of our clinical trials may be slower than expected as a result of these changes in the post-COVID clinical trial landscape.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rely on third party CDMOs and others to manufacture, store and distribute drug supplies for our clinical trials. Any performance failure on the part of these third-parties could delay clinical development or regulatory approval of our product candidates or commercialization of any resulting products, producing additional losses and depriving us of potential product revenue.</w:t>
      </w:r>
    </w:p>
    <w:p>
      <w:pPr>
        <w:spacing w:after="0" w:line="19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Any of the third-party organizations we utilize may terminate their engagements with us under certain circumstances. The replacement of an existing CRO, manufacturer or other third party may result in the delay of the affected trials or otherwise adversely affect our efforts to obtain regulatory approvals and commercialize our product candidates. Although we believe we have diversified our risk by engaging a number of CROs and other third-party organizations and there are a number of other CROs we could engage to continue these activities, we may not be able to enter into alternative arrangements or do so on commercially reasonable terms or in a timely manner. In addition, while we believe there may be suitable replacements for one or more of these service providers, there is a natural transition period when a new service provider begins work. As a result, delays may occur, which could negatively impact our ability to meet our expected clinical development timelines and harm our business, financial condition and prospects.</w:t>
      </w:r>
    </w:p>
    <w:p>
      <w:pPr>
        <w:spacing w:after="0" w:line="2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third party contract manufactures to manufacture our product candidates may increase the risk that we will not have sufficient quantities of our product candidates, raw materials, active pharmaceutical ingredients (APIs) or drug products when needed or at an acceptable cost.</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clinical or commercial quantities of our product candidates, and we lack the resources and the capabilities to do so. Our current strategy is to outsource all manufacturing of our product candidates to third party contract manufacturers.</w:t>
      </w:r>
    </w:p>
    <w:p>
      <w:pPr>
        <w:spacing w:after="0" w:line="19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currently rely on and engage third-party contract manufacturers to provide all of the API and the final filled and finished drug product formulation of all of our product candidates that are being used in our clinical trials and preclinical studies. Although we believe that there are several potential alternative manufacturers who could manufacture our product candidates, we may incur added costs and delays in identifying and qualifying any such replacement. However, if necessary, we can provide no assurance that we will be able to find an alternative manufacturer on acceptable terms. We may not be able to timely secure needed supply arrangements on satisfactory terms, or at all. Our failure to secure these arrangements as needed could have a material adverse effect on our ability to complete the development of our product candidates or, to commercialize them, if approved. We may be unable to conclude agreements for commercial supply with third-party manufacturers or may be unable to do so on acceptable terms. There may be difficulties in scaling up to commercial quantities and formulation of our product candidates, and the costs of manufacturing could be prohibitive.</w:t>
      </w:r>
    </w:p>
    <w:p>
      <w:pPr>
        <w:spacing w:after="0" w:line="21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third-party contract manufacturers we rely on from time to time may have limited or no experience manufacturing our API and final drug products. If our third-party contract manufacturers have difficulty or suffer delays in successfully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manufacturing material that meets our specifications, it may limit supply of our product candidates and could delay our clinical trials.</w:t>
      </w:r>
    </w:p>
    <w:p>
      <w:pPr>
        <w:spacing w:after="0" w:line="23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Even if we are able to establish and maintain arrangements with third-party contract manufacturers, reliance on third-party contract manufacturers entails additional risks, including:</w:t>
      </w:r>
    </w:p>
    <w:p>
      <w:pPr>
        <w:spacing w:after="0" w:line="175" w:lineRule="exact"/>
        <w:rPr>
          <w:sz w:val="20"/>
          <w:szCs w:val="20"/>
          <w:color w:val="auto"/>
        </w:rPr>
      </w:pPr>
    </w:p>
    <w:p>
      <w:pPr>
        <w:ind w:left="6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third-party manufacturer to comply with applicable regulatory requirements and reliance on third parties for manufacturing process development, regulatory compliance and quality assurance;</w:t>
      </w:r>
    </w:p>
    <w:p>
      <w:pPr>
        <w:spacing w:after="0" w:line="20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if our third-party manufacturers give greater priority to the supply of other products over our product candidates or otherwise do not satisfactorily perform according to the terms of the agreement between us;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supply availability resulting from capacity and scheduling constraints of third parties;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manufacturing agreements by third parties because of factors beyond our control;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manufacturing agreements by the third party, at a time that is costly or inconvenient to us;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2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we do not maintain our key third-party contract manufacturing relationships, we may fail to find replacement manufacturers or develop our own manufacturing capabilities, which could delay or impair our ability to obtain regulatory approval for our product candidates. If we do find replacement third-party contract manufacturers, we may not be able to enter into agreements with them on terms and conditions favorable to us and there could be a substantial delay before new facilities could be qualified and registered with the FDA and other foreign regulatory authorities.</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Additionally, if any third-party contract manufacturer with whom we contract fails to perform its obligations, we may be forced to manufacture the materials ourselves, for which we do not and may not ever have the capabilities or resources, or enter into an agreement with a different manufacturer. In either scenario, our clinical trials supply could be delayed significantly as we establish alternative supply sources. In some cases, the technical skills required to manufacture our product candidates may be unique or proprietary to the original third-party contract manufacturer and we may have difficulty, or there may be contractual restrictions prohibiting us from, transferring such skills to a back-up or alternate supplier, or we may be unable to transfer such skills at all. In addition, if we are required to change third-party manufacturers for any reason, we will be required to verify that the new third-party contract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We may be unsuccessful in demonstrating the comparability of clinical supplies, which could require the conduct of additional clinical trials. The delays associated with the verification of a new third-party manufacturer could negatively affect our ability to develop product candidates or commercialize our products in a timely manner or within budget. Furthermore, a third-party contract manufacturer may possess technology related to the manufacture of our product candidate that such third party owns independently. This would increase our reliance on such third-party contract manufacturer or require us to obtain a license from such third-party contract manufacturer in order to have another third party manufacture our product candidates.</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any of our product candidates is approved by any regulatory agency, we intend to utilize arrangements with third-party contract manufacturers for the commercial production of those products. This process is difficult and time consuming and we may face competition for access to manufacturing facilities as there are a limited number of contract manufacturers operating under cGMPs that are capable of manufacturing our product candidates. Consequently, we may not be able to reach agreement with third-party contract manufacturers on satisfactory terms, which could delay our commercialization.</w:t>
      </w:r>
    </w:p>
    <w:p>
      <w:pPr>
        <w:spacing w:after="0" w:line="20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Some of our third-party contract manufacturers are located outside of the U.S. There is currently significant uncertainty about the future relationship between the U.S. and various other countries, including Canada, China, India, Mexico and the United Kingdom with respect to trade policies, treaties, government regulations and tariffs. Increased tariffs could potentially disrupt our existing supply chains and impose additional costs on our business. Additionally, it is possible further tariffs may be imposed that could affect imports of APIs used in our product candidates, or our business may be adversely impacted by retaliatory trade measures taken by Canada, China, India, Mexico and the United Kingdom or other countries, including restricted access to raw materials we may use in our product candidates. Given the unpredictable regulatory environment in the U.S. and uncertainty regarding how the U.S. or foreign governments will act with respect to tariffs, international trade agreements and policies, further governmental action related to tariffs, additional taxes,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regulatory changes or other retaliatory trade measures in the future could occur with a corresponding detrimental impact on our business and financial condition.</w:t>
      </w:r>
    </w:p>
    <w:p>
      <w:pPr>
        <w:spacing w:after="0" w:line="20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failure, or the failure of our third-party contract manufacturers, to comply with applicable regulations could result in sanctions being imposed on us, including clinical holds, fines, injunctions, civil penalties, delays, suspension or withdrawal of approvals, seizures or voluntary recalls of product candidates, operating restrictions and criminal prosecutions, any of which could significantly affect supplies of our product candidates. The facilities used by our contract manufacturers to manufacture our product candidates must be evaluated by the FDA or comparable foreign regulatory authorities in connection with any NDA or other application we may submit. We do not control the manufacturing process of, and are completely dependent on, our contract manufacturing partners for compliance with cGMPs and similar foreign requirements. If our third-party contract manufacturers cannot successfully manufacture material that conforms to our specifications and the strict regulatory requirements of the FDA or others, we may not be able to secure and/or maintain regulatory approval for our product candidates manufactured at these facilities. In addition, we have no control over the ability of our third-party contract manufacturers to maintain adequate quality control, quality assurance and qualified personnel. If the FDA finds deficiencies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Third-party contract manufacturers may face manufacturing or quality control problems causing drug substance production and shipment delays or a situation where the contractor may not be able to maintain compliance with the applicable cGMP requirements. Any failure to comply with cGMP and similar foreign requirements or other FDA and comparable foreign regulatory requirements could adversely affect our clinical research activities and our ability to develop our product candidates and market our products, if approved.</w:t>
      </w:r>
    </w:p>
    <w:p>
      <w:pPr>
        <w:spacing w:after="0" w:line="23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FDA and other foreign regulatory authorities require our third-party contract manufacturers to register manufacturing facilities. The FDA and corresponding foreign regulators also inspect these facilities to confirm compliance with cGMPs and similar foreign requirements.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any third-party contract manufacturer to comply with cGMP requirements for applicable drug/device combination products could significantly affect supplies of our product candidates.</w:t>
      </w:r>
    </w:p>
    <w:p>
      <w:pPr>
        <w:spacing w:after="0" w:line="1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expect each of our current clinical-stage pherine product candidates, fasedienol, itruvone, PH15, PH80 and PH284, will be considered drug-device combination products. Third-party contract manufacturers may not be able to comply with cGMP requirements applicable to drug/device combination products, including applicable provisions of the FDA’s or a comparable foreign regulatory authority’s drug cGMP regulations, device cGMP requirements embodied in the Quality System Regulation (</w:t>
      </w:r>
      <w:r>
        <w:rPr>
          <w:rFonts w:ascii="Times New Roman" w:cs="Times New Roman" w:eastAsia="Times New Roman" w:hAnsi="Times New Roman"/>
          <w:sz w:val="18"/>
          <w:szCs w:val="18"/>
          <w:i w:val="1"/>
          <w:iCs w:val="1"/>
          <w:color w:val="auto"/>
        </w:rPr>
        <w:t>QSR</w:t>
      </w:r>
      <w:r>
        <w:rPr>
          <w:rFonts w:ascii="Times New Roman" w:cs="Times New Roman" w:eastAsia="Times New Roman" w:hAnsi="Times New Roman"/>
          <w:sz w:val="18"/>
          <w:szCs w:val="18"/>
          <w:color w:val="auto"/>
        </w:rPr>
        <w:t>) or similar regulatory requirements outside the U.S. Our failure, or the failure of our third-party contract manufacturers, to comply with applicable regulations could result in material adverse effects,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w:t>
      </w:r>
    </w:p>
    <w:p>
      <w:pPr>
        <w:spacing w:after="0" w:line="2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third-party contract manufacturer of our product candidates is unable to increase the scale of its production of our product candidates or increase the product yield of its manufacturing, then our manufacturing costs may increase and commercialization may be delayed.</w:t>
      </w:r>
    </w:p>
    <w:p>
      <w:pPr>
        <w:spacing w:after="0" w:line="1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order to produce sufficient quantities to meet the demand for clinical trials and, if approved, subsequent commercialization of our product candidates, our third-party contract manufacturers will be required to increase their production and optimize their manufacturing processes while maintaining the quality of our product candidates. The transition to larger scale production could prove difficult. In addition, if our third-party manufacturers are not able to optimize their manufacturing processes to increase the product yield for our product candidates, or if they are unable to produce increased amounts of our product candidates while maintaining the same quality then we may not be able to meet the demands of clinical trials or market demands, which could decrease our ability to generate profits and have a material adverse impact on our business and results of operations.</w:t>
      </w: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need to maintain licenses for APIs from third parties to develop and commercialize some of our product candidates, which could increase our development costs and delay our ability to commercialize those product candidates.</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Should we decide to use any APIs in any of our product candidates that are proprietary to one or more third parties, we would need to maintain licenses to those APIs from those third parties. If we are unable to gain or continue to access rights to these APIs prior to conducting preclinical toxicology studies intended to support clinical trials, we may need to develop alternate product candidates from these programs by either accessing or developing alternate APIs, resulting in increased</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development costs and delays in commercialization of these product candidates. If we are unable to gain or maintain continued access rights to the desired APIs on commercially reasonable terms or develop suitable alternate APIs, we may not be able to commercialize product candidates from these programs.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9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foreign regulatory authorities must also approve the manufacturing and marketing of the product candidate in those countries. Approval procedures vary among jurisdictions and can involve requirements and administrative review periods different from, and greater than, those in the U.S., including additional preclinical studies or clinical trials, as clinical trials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intend to charge for our products is also subject to approval.</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U.S. and requirements of comparable foreign regulatory authorities. In addition, we will be subject to continued compliance with cGMP and similar foreign requirements and GCP requirements for any clinical trials that we conduct post-approval.</w:t>
      </w:r>
    </w:p>
    <w:p>
      <w:pPr>
        <w:spacing w:after="0" w:line="2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comply with extensive FDA and comparable foreign regulatory authority requirements, including ensuring that quality control and manufacturing procedures conform to cGMP and similar foreign regulations and applicable product tracking and tracing requirements. As such, we and our contract manufacturers will be subject to continual review and inspections to assess compliance with cGMP and similar foreign requirements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Certain endpoint data we hope to include in any approved product labeling also may not make it into such labeling, including exploratory or secondary endpoint data such as patient-reported outcome measures.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or imposition of distribution restrictions or other restrictions under a REMS program. Other potential consequences include, among other things:</w:t>
      </w:r>
    </w:p>
    <w:p>
      <w:pPr>
        <w:spacing w:after="0" w:line="239"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product recalls;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comparable foreign regulatory authorities to approve pending applications or supplements to approved applications filed by us or suspension or withdrawal of approvals;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w:t>
      </w:r>
    </w:p>
    <w:p>
      <w:pPr>
        <w:spacing w:after="0" w:line="19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FDA and certain foreign regulatory authorities strictly regulate marketing, labeling, advertising and promotion of products that are placed on the market. Products may be promoted only for the approved indications and in accordance with the provisions of the approved label. The policies of the FDA and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While we may in the future seek designations for our product candidates with the FDA and comparable foreign regulatory authorities that are intended to confer benefits such as a faster development process, an accelerated regulatory pathway or regulatory exclusivity, there can be no assurance that we will successfully obtain such designations. In addition, even if one or more of our product candidates are granted such designations, we may not be able to realize the intended benefits of such designations.</w:t>
      </w:r>
    </w:p>
    <w:p>
      <w:pPr>
        <w:spacing w:after="0" w:line="20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FDA and comparable foreign regulatory authorities offer certain designations for product candidates. These programs are designed to encourage the research and development of product candidates that are intended to address serious conditions. These designations may confer benefits such as additional interaction with regulatory authorities and eligibility for expedited review procedures. However, there can be no assurance that we will successfully obtain such designations for our product candidates. In addition, while such designations could expedite the development or approval process, they generally do not change the standards for approval. Even if we obtain such designations for our product candidates, there can be no assurance that we will realize their intended benefits.</w:t>
      </w:r>
    </w:p>
    <w:p>
      <w:pPr>
        <w:spacing w:after="0" w:line="20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For example, we may seek a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a product candidate that has been designated as a Breakthrough Therapy, interaction and communication between the FDA and the sponsor of the trial can help to identify the most efficient path for clinical development while minimizing the number of patients placed in ineffective control regimens. Product candidates receiving Breakthrough Therapy designation also receive the same benefits associated with Fast Track designation, described below. Designation as a Breakthrough Therapy is within the sole discretion of the FDA. Accordingly, even if we believe one of our product candidates meets the criteria for designation as a Breakthrough Therapy, the FDA may disagree and instead determine not to make such designation. For example, as to fasedienol for the acute treatment of SAD, the FDA has informed us that designation as a breakthrough therapy cannot be granted at this time.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Furthermore, the FDA has granted Fast Track designation for fasedienol for the acute treatment of SAD, for itruvone for the treatment of MDD, and for AV-101 for the adjunctive treatment of MDD and for the treatment of neuropathic pain, and we may seek Fast Track Designation for some of our other product candidates. If a drug or biologic is intended for the treatment of a serious or life-threatening condition and the therapy demonstrates the potential to address unmet medical needs for this condition, the therapy sponsor may be eligible for Fast Track designation.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 NDA is submitted, the application may be eligible for priority review. A NDA submitted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application.</w:t>
      </w:r>
    </w:p>
    <w:p>
      <w:pPr>
        <w:spacing w:after="0" w:line="21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FDA has broad discretion whether or not to grant this designation, so even if we believe a particular product candidate is eligible for this designation, there can be no assurance that the FDA would decide to grant it. The receipt of Fast Track designation for fasedienol for acute treatment of SAD, for itruvone for the treatment of MDD and AV-101 for the adjunctive treatment of MDD and for the treatment of neuropathic pain, and any future receipt of Fast Track designation for other product candidates, does not guarantee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Some of our programs have been partially supported by government grant awards. Although we do not currently rely on government funding nor do we have a present intent to seek further grant funding from governmental agencies, should that change, such funding may not be available to us in the future or subject us to federal regulations such as “march-in” rights, certain reporting requirements and a preference for U.S. industry.</w:t>
      </w:r>
    </w:p>
    <w:p>
      <w:pPr>
        <w:spacing w:after="0" w:line="19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Currently, we do not rely on grant funding from government agencies for our development programs, and we do not have a present intent to seek grant funding from government agencies. While not a current priority, we may apply for grant funding from governmental agencies in the future. However, funding by these governmental agencies may be significantly reduced or eliminated in the future for a number of reasons. For example, some programs are subject to a yearly appropriations process in Congress. In addition, we may not receive full funding under current or future grants because of budgeting constraints of the agency administering the program or unsatisfactory progress on the study being funded. Therefore, we cannot assure you that we will receive any future grant funding from any government agencies, or, that if received, we will receive the full amount of the particular grant award. Any such reductions could delay the development of our product candidates.</w:t>
      </w:r>
    </w:p>
    <w:p>
      <w:pPr>
        <w:spacing w:after="0" w:line="2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Moreover, any intellectual property rights generated through the use of U.S. government funding are subject to the Bayh-Dole Act of 1980 (</w:t>
      </w:r>
      <w:r>
        <w:rPr>
          <w:rFonts w:ascii="Times New Roman" w:cs="Times New Roman" w:eastAsia="Times New Roman" w:hAnsi="Times New Roman"/>
          <w:sz w:val="18"/>
          <w:szCs w:val="18"/>
          <w:i w:val="1"/>
          <w:iCs w:val="1"/>
          <w:color w:val="auto"/>
        </w:rPr>
        <w:t>Bayh-Dole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These U.S. government rights in certain inventions developed under a government-funded program include a non-exclusive, non-transferable,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irrevocable worldwide license to use inventions for any governmental purpose. In addition, the U.S. government has the right to require us to grant exclusive, partially exclusive, or non-exclusive licenses to any of these inventions to a third party if the government determines that: (1) adequate steps have not been taken to commercialize the invention; (2) government action is necessary to meet public health or safety needs; or (3) government action is necessary to meet requirements for public use under federal regulations, which we refer to as march-in rights. The U.S. government also has the right to take title to these inventions if we fail, or the applicable licensor fails, to disclose the invention to the government, elect title, and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a result of any future arrangement involving government funding, and if we make inventions as a result of such funding, intellectual property rights to such discoveries may be subject to the applicable provisions of the Bayh-Dole Act.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2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U.S. and elsewhere play a primary role in the recommendation and prescription of pharmaceutical products. Arrangements with third-party payors and customers can expose pharmaceutical manufacturers to broadly applicable fraud and abuse and other healthcare laws and regulations that may constrain the business or financial arrangements and relationships through which we conduct research and would sell, market and distribute our products. Federal and state healthcare laws and regulations that may affect our ability to operate include the following:</w:t>
      </w:r>
    </w:p>
    <w:p>
      <w:pPr>
        <w:spacing w:after="0" w:line="204" w:lineRule="exact"/>
        <w:rPr>
          <w:sz w:val="20"/>
          <w:szCs w:val="20"/>
          <w:color w:val="auto"/>
        </w:rPr>
      </w:pPr>
    </w:p>
    <w:p>
      <w:pPr>
        <w:jc w:val="both"/>
        <w:ind w:left="660" w:hanging="328"/>
        <w:spacing w:after="0" w:line="243"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the purchase, lease, order, arrangement, or recommendation of any good, facility, item or service for which payment may be made, in whole or in part, under a federal healthcare program, such as the Medicare and Medicaid programs. A person or entity does not need to have actual knowledge of the federal Anti-Kickback Statute or specific intent to violate it to have committed a violation. Violations are subject to civil fines and criminal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w:t>
      </w:r>
    </w:p>
    <w:p>
      <w:pPr>
        <w:spacing w:after="0" w:line="226"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knowingly making, using or causing to be made or used, a false statement of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w:t>
      </w:r>
      <w:r>
        <w:rPr>
          <w:rFonts w:ascii="Times New Roman" w:cs="Times New Roman" w:eastAsia="Times New Roman" w:hAnsi="Times New Roman"/>
          <w:sz w:val="18"/>
          <w:szCs w:val="18"/>
          <w:i w:val="1"/>
          <w:iCs w:val="1"/>
          <w:color w:val="auto"/>
        </w:rPr>
        <w:t>HIPAA</w:t>
      </w:r>
      <w:r>
        <w:rPr>
          <w:rFonts w:ascii="Times New Roman" w:cs="Times New Roman" w:eastAsia="Times New Roman" w:hAnsi="Times New Roman"/>
          <w:sz w:val="18"/>
          <w:szCs w:val="18"/>
          <w:color w:val="auto"/>
        </w:rPr>
        <w:t>), which prohibits, among other things,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244"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applicable manufacturers of drugs, devices, biologics and medical supplies for which payment is available under Medicare, Medicaid or the Children’s Health Insurance Program to report annually to the U.S. Centers for Medicare &amp; Medicaid Services, within the U.S. Department of Health and Human Services, information related to payments or other transfers of value made to physicians, certain non-physician practitioners including nurse practitioners, certified nurse anesthetists, anesthesiologist assistants, physician assistants, clinical nurse specialists, and certified nurse midwives as well as teaching hospitals and to disclose ownership and investment interests held by physicians and their immediate family members;</w:t>
      </w:r>
    </w:p>
    <w:p>
      <w:pPr>
        <w:spacing w:after="0" w:line="22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price reporting laws, which require manufacturers to calculate and report complex pricing metrics in an accurate and timely manner to government programs; and</w:t>
      </w:r>
    </w:p>
    <w:p>
      <w:pPr>
        <w:spacing w:after="0" w:line="18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w:t>
      </w:r>
    </w:p>
    <w:p>
      <w:pPr>
        <w:spacing w:after="0" w:line="2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2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government-funded healthcare programs and imprisonment. If any of the above occur, our ability to operate our business and our results of operations could be adversely affected.</w:t>
      </w:r>
    </w:p>
    <w:p>
      <w:pPr>
        <w:spacing w:after="0" w:line="2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our product candidates, if approved, which could make it difficult for us to sell any product candidates profitably.</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success of our product candidates, if approved, depends on the availability of coverage and adequate reimbursement from third-party payors. We cannot be sure that coverage and reimbursement will be available for, or accurately estimate the potential revenue from, our product candidates or assure that coverage and reimbursement will be available for any product that we may develop.</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217"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the U.S.,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Private health insurers and other third-party payors in the U.S. often follow the coverage and reimbursement policies of government payors, including the Medicare or Medicaid programs.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Patients are unlikely to use our product candidates, once approved, unless coverage is provided and reimbursement is adequate to cover a significant portion of their cost. There is significant uncertainty related to insurance coverage and reimbursement of newly approved products. It is difficult to predict at this time what third-party payors will decide with respect to the coverage and reimbursement for our product candidates.</w:t>
      </w:r>
    </w:p>
    <w:p>
      <w:pPr>
        <w:spacing w:after="0" w:line="21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p>
    <w:p>
      <w:pPr>
        <w:spacing w:after="0" w:line="2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Moreover, increasing efforts by governmental and other third-party payors in the U.S.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and regulatory reform measures may have a material adverse effect on our business and results of operations.</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9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The containment of healthcare costs has become a priority of federal, state and foreign governments, and the prices of products have been a focus in this effort. There have been a number of federal and state proposals during the last few years regarding the pricing of pharmaceutical products, limiting coverage and the amount of reimbursement for drugs and other medical products, government control and other changes to the healthcare system in the U.S. Governments have shown significant interest in implementing cost-containment programs, including price controls, restrictions on reimbursement and requirements for substitution of generic products. For instance, in August 2022, the Inflation Reduction Act of 2022 (the </w:t>
      </w:r>
      <w:r>
        <w:rPr>
          <w:rFonts w:ascii="Times New Roman" w:cs="Times New Roman" w:eastAsia="Times New Roman" w:hAnsi="Times New Roman"/>
          <w:sz w:val="18"/>
          <w:szCs w:val="18"/>
          <w:i w:val="1"/>
          <w:iCs w:val="1"/>
          <w:color w:val="auto"/>
        </w:rPr>
        <w:t>IRA</w:t>
      </w:r>
      <w:r>
        <w:rPr>
          <w:rFonts w:ascii="Times New Roman" w:cs="Times New Roman" w:eastAsia="Times New Roman" w:hAnsi="Times New Roman"/>
          <w:sz w:val="18"/>
          <w:szCs w:val="18"/>
          <w:color w:val="auto"/>
        </w:rPr>
        <w:t>) was signed into law. The IRA includes several provisions that will impact our business to varying degrees, including provisions that allow the U.S. government to negotiate Medicare Part B and Part D pricing for certain high-cost drugs and biologics without generic or biosimilar competition, require companies to pay rebates to Medicare for drug prices that increase faster than inflation, create an out-of-pocket cap for Medicare Part D beneficiaries, impose new manufacturer financial liability on all drugs in Medicare Part D and delay the rebate rule that would require pass-through of pharmacy benefit manager rebates to beneficiaries. In particular, the IRA allows CMS to begin negotiating prices for certain high-cost Medicare-covered small molecule drugs after they have spent seven years on the market. On August 29, 2023, CMS announced the list of the first ten drugs that will be subject to price negotiations. Any reduction in reimbursement from</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Medicare or other government programs may result in a similar reduction in payments from private payors. All of our disclosed product candidates are small molecule drugs and certain of them are being developed in indications that may rely heavily on Medicare reimbursement, such as depression. Accordingly, these new price-negotiation provisions may have a negative impact on our future revenue and profits. The implementation of the IRA is currently subject to ongoing litigation challenging the constitutionality of the IRA’s Medicare drug price negotiation program. The effect of IRA on our business and the healthcare industry in general is not yet fully known. Adoption of price controls and cost-containment measures, and adoption of more restrictive policies in jurisdictions with existing controls and measures, could further limit our revenue generated from the sale of any approved products. Even if we do receive a favorable coverage determination for our products by third-party payors, coverage policies and third-party payor reimbursement rates may change at any time.</w:t>
      </w:r>
    </w:p>
    <w:p>
      <w:pPr>
        <w:spacing w:after="0" w:line="22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 The continuing efforts of the government, insurance companies, managed care organizations and other payers of healthcare services to contain or reduce costs of healthcare may adversely affect:</w:t>
      </w:r>
    </w:p>
    <w:p>
      <w:pPr>
        <w:spacing w:after="0" w:line="208"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5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In addition, recent and/or future policy changes may create uncertainty for our business. In its June 2024 decision in </w:t>
      </w:r>
      <w:r>
        <w:rPr>
          <w:rFonts w:ascii="Times New Roman" w:cs="Times New Roman" w:eastAsia="Times New Roman" w:hAnsi="Times New Roman"/>
          <w:sz w:val="18"/>
          <w:szCs w:val="18"/>
          <w:i w:val="1"/>
          <w:iCs w:val="1"/>
          <w:color w:val="auto"/>
        </w:rPr>
        <w:t>Loper Bright Enterprises v. Raimondo</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Loper Decision</w:t>
      </w:r>
      <w:r>
        <w:rPr>
          <w:rFonts w:ascii="Times New Roman" w:cs="Times New Roman" w:eastAsia="Times New Roman" w:hAnsi="Times New Roman"/>
          <w:sz w:val="18"/>
          <w:szCs w:val="18"/>
          <w:color w:val="auto"/>
        </w:rPr>
        <w:t xml:space="preserve">), the U.S. Supreme Court overturned the longstanding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doctrine, under which courts were required to give deference to regulatory agencies’ reasonable interpretations of ambiguous federal statutes. The Loper Decision could result in additional legal challenges to regulations and guidance issued by federal agencies applicable to our operations, including those issued by the FDA. Additionally, the Loper Decision may result in increased regulatory uncertainty, inconsistent judicial interpretations and other impacts to the agency rulemaking process. We cannot predict which additional measures may be adopted or the impact of current and additional measures on the marketing, pricing and demand for our products, which could have a material adverse effect on our business, financial condition and results of operations.</w:t>
      </w:r>
    </w:p>
    <w:p>
      <w:pPr>
        <w:spacing w:after="0" w:line="19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expect that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 Legislative and regulatory proposals have been made to expand post-approval requirements and restrict sales and promotional activities for pharmaceutical products. We cannot be sure whether additional legislative changes will be enacted, or whether the FDA or foreign regulations, guidance or interpretations will be changed, or what the impact of such changes on the marketing approvals or clearances of our product candidates, if any, may be.</w:t>
      </w:r>
    </w:p>
    <w:p>
      <w:pPr>
        <w:spacing w:after="0" w:line="2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Off-label use or misuse of our product candidates may harm our reputation in the marketplace or result in injuries that lead to costly product liability suits.</w:t>
      </w:r>
    </w:p>
    <w:p>
      <w:pPr>
        <w:spacing w:after="0" w:line="1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If our product candidates are approved by the FDA or comparable foreign regulatory authorities, we may only promote or market our product candidates in a manner consistent with their FDA-approved labeling (or the label approved by foreign regulatory authorities). We will train our marketing and sales force against promoting our product candidates for uses outside of the approved indications for use, known as “off-label uses.” We cannot, however, prevent a physician from using our product candidates off-label, when in the physician’s independent professional medical judgment, he or she deems it appropriate. Furthermore, the use of our product candidates for indications other than those approved by the FDA or comparable foreign regulatory authorities may not effectively treat such conditions. Any such off-label use of our product candidates could harm our reputation in the marketplace among physicians and patients. There may also be increased risk of injury to patients if physicians attempt to use our product candidates for these uses for which they are not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which could lead to product liability suits that might require significant financial and management resources and that could harm our reputation.</w:t>
      </w:r>
    </w:p>
    <w:p>
      <w:pPr>
        <w:spacing w:after="0" w:line="2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Reduction in staffing and/or inadequate funding for the FDA or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ability of the FDA and comparable foreign regulatory authorities to review and approve new products can be affected by a variety of factors, including staffing levels, government budget and funding levels, ability to hire and retain key personnel and accept the payment of user fees, and statutory, regulatory, and policy changes. Average review times at the FDA and comparable foreign regulatory authorities,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Disruptions and personnel turnover, as a result of leadership changes, staff reductions or otherwise, at the FDA, other government agencies and comparable foreign regulatory authorities may also slow the time necessary for new drugs to be reviewed and/or approved by necessary government agencies and comparable foreign regulatory authorities, which would adversely affect our business. For example, in recent years, the U.S. government has shut down several times and certain regulatory agencies, such as the FDA, have had to furlough critical employees and stop critical activities.</w:t>
      </w:r>
    </w:p>
    <w:p>
      <w:pPr>
        <w:spacing w:after="0" w:line="2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 If a prolonged government shutdown occurs, or if renewed global health concerns, funding shortages or staffing limitations hinder or prevent the FDA or other regulatory authorities from conducting their regular inspections, reviews, or other regulatory activities, it could significantly impact the ability of the FDA or other such regulatory authorities to timely review and process our regulatory submissions, which could have a material adverse effect on our business.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evolving global data protection laws and regulations, which may require us to incur substantial compliance costs, and any failure or perceived failure by us to comply with such laws and regulations may harm our business and operations.</w:t>
      </w:r>
    </w:p>
    <w:p>
      <w:pPr>
        <w:spacing w:after="0" w:line="1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the U.S., HIPAA, as amended by the Health Information Technology for Economic and Clinical Health Act of 2009, and regulations implemented thereunder,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 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of 2018 (</w:t>
      </w:r>
      <w:r>
        <w:rPr>
          <w:rFonts w:ascii="Times New Roman" w:cs="Times New Roman" w:eastAsia="Times New Roman" w:hAnsi="Times New Roman"/>
          <w:sz w:val="18"/>
          <w:szCs w:val="18"/>
          <w:i w:val="1"/>
          <w:iCs w:val="1"/>
          <w:color w:val="auto"/>
        </w:rPr>
        <w:t>CCPA</w:t>
      </w:r>
      <w:r>
        <w:rPr>
          <w:rFonts w:ascii="Times New Roman" w:cs="Times New Roman" w:eastAsia="Times New Roman" w:hAnsi="Times New Roman"/>
          <w:sz w:val="18"/>
          <w:szCs w:val="18"/>
          <w:color w:val="auto"/>
        </w:rPr>
        <w:t>)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has increased the likelihood of, and risks associated with data breach litigation. Further, the California Privacy Rights Act (</w:t>
      </w:r>
      <w:r>
        <w:rPr>
          <w:rFonts w:ascii="Times New Roman" w:cs="Times New Roman" w:eastAsia="Times New Roman" w:hAnsi="Times New Roman"/>
          <w:sz w:val="18"/>
          <w:szCs w:val="18"/>
          <w:i w:val="1"/>
          <w:iCs w:val="1"/>
          <w:color w:val="auto"/>
        </w:rPr>
        <w:t>CPRA</w:t>
      </w:r>
      <w:r>
        <w:rPr>
          <w:rFonts w:ascii="Times New Roman" w:cs="Times New Roman" w:eastAsia="Times New Roman" w:hAnsi="Times New Roman"/>
          <w:sz w:val="18"/>
          <w:szCs w:val="18"/>
          <w:color w:val="auto"/>
        </w:rPr>
        <w:t>)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Additional compliance investment and potential business process changes may also be required. Other states have enacted similar consumer privacy laws that grant rights to data subjects and place privacy and security obligations on entities handling personal data of consumers or households. While we are not currently subject to laws such as the CCPA, such state privacy laws and similar legislation proposed at the state and federal level could mark the beginning of a trend toward more stringent privacy legislation in the U.S., which could increase our potential liability and adversely affect our business.</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In addition to our operations in the U.S., which may be subject to healthcare and other laws relating to the privacy and security of health information and other personal information, we may seek to conduct future clinical trials in the United Kingdom or the European Economic Area (the </w:t>
      </w:r>
      <w:r>
        <w:rPr>
          <w:rFonts w:ascii="Times New Roman" w:cs="Times New Roman" w:eastAsia="Times New Roman" w:hAnsi="Times New Roman"/>
          <w:sz w:val="18"/>
          <w:szCs w:val="18"/>
          <w:i w:val="1"/>
          <w:iCs w:val="1"/>
          <w:color w:val="auto"/>
        </w:rPr>
        <w:t>EEA</w:t>
      </w:r>
      <w:r>
        <w:rPr>
          <w:rFonts w:ascii="Times New Roman" w:cs="Times New Roman" w:eastAsia="Times New Roman" w:hAnsi="Times New Roman"/>
          <w:sz w:val="18"/>
          <w:szCs w:val="18"/>
          <w:color w:val="auto"/>
        </w:rPr>
        <w:t>) and may become subject to additional European data privacy laws, regulations and guidelines. We will be subject to the data protection laws of the EU and United Kingdom in relation to personal data we collect from these territories. These laws impose additional obligations and risk upon our business, including substantial expenses and changes to business operations that are required to comply with these laws. For example, the European Union General Data Protection Regulation (</w:t>
      </w:r>
      <w:r>
        <w:rPr>
          <w:rFonts w:ascii="Times New Roman" w:cs="Times New Roman" w:eastAsia="Times New Roman" w:hAnsi="Times New Roman"/>
          <w:sz w:val="18"/>
          <w:szCs w:val="18"/>
          <w:i w:val="1"/>
          <w:iCs w:val="1"/>
          <w:color w:val="auto"/>
        </w:rPr>
        <w:t>EU GDPR</w:t>
      </w:r>
      <w:r>
        <w:rPr>
          <w:rFonts w:ascii="Times New Roman" w:cs="Times New Roman" w:eastAsia="Times New Roman" w:hAnsi="Times New Roman"/>
          <w:sz w:val="18"/>
          <w:szCs w:val="18"/>
          <w:color w:val="auto"/>
        </w:rPr>
        <w:t>) went into effect in May 2018 and imposes strict requirements for processing the personal data of individuals within the EEA or in the context of our activities within the EEA. Companies that must comply with the EU GDPR face increased compliance obligations and risk, including more robust regulatory enforcement of data protection requirements and potential fines for noncompliance of up to €20 million or 4% of the annual global revenues of the noncompliant company, whichever is greater. In addition, some of the personal data we process in respect of clinical trial participants is special category or sensitive personal data under the EU GDPR, and subject to additional compliance obligations and to local law derogations. Since the beginning of 2021, after the end of the transition period following the withdrawal of the United Kingdom from the EU (</w:t>
      </w:r>
      <w:r>
        <w:rPr>
          <w:rFonts w:ascii="Times New Roman" w:cs="Times New Roman" w:eastAsia="Times New Roman" w:hAnsi="Times New Roman"/>
          <w:sz w:val="18"/>
          <w:szCs w:val="18"/>
          <w:i w:val="1"/>
          <w:iCs w:val="1"/>
          <w:color w:val="auto"/>
        </w:rPr>
        <w:t>Brexit</w:t>
      </w:r>
      <w:r>
        <w:rPr>
          <w:rFonts w:ascii="Times New Roman" w:cs="Times New Roman" w:eastAsia="Times New Roman" w:hAnsi="Times New Roman"/>
          <w:sz w:val="18"/>
          <w:szCs w:val="18"/>
          <w:color w:val="auto"/>
        </w:rPr>
        <w:t xml:space="preserve">), we may also be subject to the United Kingdom General Data Protection Regulation and Data Protection Act 2018 (collectively, the </w:t>
      </w:r>
      <w:r>
        <w:rPr>
          <w:rFonts w:ascii="Times New Roman" w:cs="Times New Roman" w:eastAsia="Times New Roman" w:hAnsi="Times New Roman"/>
          <w:sz w:val="18"/>
          <w:szCs w:val="18"/>
          <w:i w:val="1"/>
          <w:iCs w:val="1"/>
          <w:color w:val="auto"/>
        </w:rPr>
        <w:t>UK GDPR</w:t>
      </w:r>
      <w:r>
        <w:rPr>
          <w:rFonts w:ascii="Times New Roman" w:cs="Times New Roman" w:eastAsia="Times New Roman" w:hAnsi="Times New Roman"/>
          <w:sz w:val="18"/>
          <w:szCs w:val="18"/>
          <w:color w:val="auto"/>
        </w:rPr>
        <w:t>) which imposes separate but similar obligations to those under the EU GDPR and comparable penalties, including fines of up to £17.5 million or 4% of a noncompliant company’s global annual revenue for the preceding financial year, whichever is greater. The subsequent separation of the data protection regimes of these territories mean we are required to comply with separate data protection laws in the EU and United Kingdom, which may lead to additional compliance costs and could increase our overall risk.</w:t>
      </w:r>
    </w:p>
    <w:p>
      <w:pPr>
        <w:spacing w:after="0" w:line="22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The EU and UK GDPR (collectively, the </w:t>
      </w:r>
      <w:r>
        <w:rPr>
          <w:rFonts w:ascii="Times New Roman" w:cs="Times New Roman" w:eastAsia="Times New Roman" w:hAnsi="Times New Roman"/>
          <w:sz w:val="18"/>
          <w:szCs w:val="18"/>
          <w:i w:val="1"/>
          <w:iCs w:val="1"/>
          <w:color w:val="auto"/>
        </w:rPr>
        <w:t>GDPR</w:t>
      </w:r>
      <w:r>
        <w:rPr>
          <w:rFonts w:ascii="Times New Roman" w:cs="Times New Roman" w:eastAsia="Times New Roman" w:hAnsi="Times New Roman"/>
          <w:sz w:val="18"/>
          <w:szCs w:val="18"/>
          <w:color w:val="auto"/>
        </w:rPr>
        <w:t>), which deals with the processing of personal data and on the free movement of such data, imposes a broad range of strict requirements, including requirements relating to having lawful bases for processing personal data and transferring such information outside the EEA/UK, including to the U.S., providing details to those individuals regarding the processing of their personal data, keeping personal data secure, having data processing agreements with third parties who process personal data, responding to individuals’ requests to exercise their rights in respect of their personal data, reporting security breaches involving personal data to the competent national data protection authority and affected individuals, appointing data protection officers, conducting data protection impact assessments and record-keeping. In addition to fines, a breach of the GDPR may result in regulatory investigations, reputational damage, orders to cease/ change our data processing activities, enforcement notices, assessment notices (for a compulsory audit) and/ or civil claims (including class actions).</w:t>
      </w:r>
    </w:p>
    <w:p>
      <w:pPr>
        <w:spacing w:after="0" w:line="20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GDPR imposes strict rules on the transfer of personal data out of the EEA/UK to countries not regarded by European Commission and the United Kingdom government as providing adequate protection, or the third countries, including the U.S. and the efficacy and longevity of current transfer mechanisms between the EEA and the U.S. remains uncertain. Case law from the Court of Justice of the European Union (</w:t>
      </w:r>
      <w:r>
        <w:rPr>
          <w:rFonts w:ascii="Times New Roman" w:cs="Times New Roman" w:eastAsia="Times New Roman" w:hAnsi="Times New Roman"/>
          <w:sz w:val="18"/>
          <w:szCs w:val="18"/>
          <w:i w:val="1"/>
          <w:iCs w:val="1"/>
          <w:color w:val="auto"/>
        </w:rPr>
        <w:t>CJEU</w:t>
      </w:r>
      <w:r>
        <w:rPr>
          <w:rFonts w:ascii="Times New Roman" w:cs="Times New Roman" w:eastAsia="Times New Roman" w:hAnsi="Times New Roman"/>
          <w:sz w:val="18"/>
          <w:szCs w:val="18"/>
          <w:color w:val="auto"/>
        </w:rPr>
        <w:t>)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On October 7, 2022, President Biden signed an Executive Order on ‘Enhancing Safeguards for U.S. Intelligence Activities’ which introduced new redress mechanisms and binding safeguards to address the concerns raised by the CJEU in relation to data transfers from the EEA to the U.S. and which formed the basis of the new EU-US Data Privacy Framework (</w:t>
      </w:r>
      <w:r>
        <w:rPr>
          <w:rFonts w:ascii="Times New Roman" w:cs="Times New Roman" w:eastAsia="Times New Roman" w:hAnsi="Times New Roman"/>
          <w:sz w:val="18"/>
          <w:szCs w:val="18"/>
          <w:i w:val="1"/>
          <w:iCs w:val="1"/>
          <w:color w:val="auto"/>
        </w:rPr>
        <w:t>DPF</w:t>
      </w:r>
      <w:r>
        <w:rPr>
          <w:rFonts w:ascii="Times New Roman" w:cs="Times New Roman" w:eastAsia="Times New Roman" w:hAnsi="Times New Roman"/>
          <w:sz w:val="18"/>
          <w:szCs w:val="18"/>
          <w:color w:val="auto"/>
        </w:rPr>
        <w:t>), as released on December 13, 2022. The European Commission adopted its Adequacy Decision in relation to the DPF on July 10, 2023, rendering the DPF effective as a EU GDPR transfer mechanism to U.S. entities self-certified under the DPF. The DPF also introduced a new redress mechanism for EU citizens which addresses a key concern in the previous CJEU judgments and may mean transfers under standard contractual clauses are less likely to be challenged in future. On October 12, 2023, the UK Extension to the DPF came into effect (as approved by the UK Government), as a UK GDPR data transfer mechanism to U.S. entities self-certified under the UK Extension to the DPF. We expect the existing legal complexity and uncertainty regarding international personal data transfers to continue. In particular, we expect the DPF Adequacy Decision to be challenged and international transfers to the U.S.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 This may lead to additional compliance costs and could increase our overall risk.</w:t>
      </w:r>
    </w:p>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Should we conduct future clinical trials in the U.K. or EU, we cannot assure you that our efforts to comply with any obligations under European privacy laws will be sufficient. If we are investigated by a European data protection authority,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face fines and other penalties. Any such investigation or charges by European data protection authorities could have a negative effect on our reputation and materially harm our business. As we continue to expand into other foreign countries and jurisdictions, we may be subject to additional laws and regulations that may affect how we conduct business.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laws and regulations governing international operations could negatively impact or restrict our operations.</w:t>
      </w:r>
    </w:p>
    <w:p>
      <w:pPr>
        <w:spacing w:after="0" w:line="2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If we expand our operations outside of the U.S., we must dedicate additional resources to comply with numerous laws and regulations in each jurisdiction in which we plan to operate. The FCPA prohibits any U.S.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2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U.S., or the sharing with certain non-U.S. nationals, of information classified for national security purposes, as well as certain products and technical data relating to those products. 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increase our development costs.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2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obtain and maintain issued patents that are sufficient to protect our product candidates, others could compete against us, which would have a material adverse impact on our business, results of operations, financial condition and prospects.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strive to protect and enhance the proprietary technologies that we believe are important to our business, including seeking patents intended to cover our product candidates, their compositions and formulations, their methods of use and methods of manufacturing, delivery devices and any other inventions we consider important to the development of our business. We also rely on trade secrets to protect aspects of our business that are not amenable to, or that we do not consider appropriate for, patent protection.</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success will depend significantly on our ability to obtain and maintain commercially meaningful patent and other proprietary protection for commercially important technology, inventions and know-how related to our business, to defend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and enforce our patents,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patents and patent applications related to product candidates fasedienol, itruvone, PH80, PH15, and AV-101 and have licensed patents and patent applications related to certain stem cell technology.</w:t>
      </w:r>
    </w:p>
    <w:p>
      <w:pPr>
        <w:spacing w:after="0" w:line="20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Although we own and have licensed issued and patents and pending patent applications relating to our product candidates in the U.S. and selected countries in other markets, we cannot provide any assurances that our pending U.S. and corresponding foreign patent applications will mature into issued patents and, if they do, that any of our patents will include claims with a scope sufficient to protect our product candidates or otherwise provide any competitive advantage.</w:t>
      </w:r>
    </w:p>
    <w:p>
      <w:pPr>
        <w:spacing w:after="0" w:line="2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Moreover, other parties may have developed technologies that may be related or competitive to our product candidates and may have filed or may file patent applications and may have been granted or may be granted patents that overlap or conflict with our patent properties, for example, either by claiming the same methods or formulations or by claiming subject matter that could dominate our patent position. Such third-party patent positions may limit or even eliminate our ability to obtain or maintain patent protection and may limit or eliminate our ability to commercialize our product candidates.</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uncertainty about adequate protection includes changes to the patent laws through either legislative action to change statutory patent law or court action that may reinterpret existing law in ways affecting the scope or validity of issued patents. Moreover, relevant laws differ from country to country.</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patent positions of biopharmaceutical companies, including our patent portfolio with respect to our product candidates, involve complex legal and factual questions, and, therefore, the issuance, scope, validity, and enforceability of any patent claims that we may be granted cannot be predicted with certainty.</w:t>
      </w:r>
    </w:p>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ability to obtain valid and enforceable patents depends, among other factors, on whether the differences between our technology and the prior art allow our inventions to be patentable over the relevant prior art. Such prior art includes, for example, scientific publications, investment blogs, granted patents, and published patent applications. Patent uncertainty cannot be eliminated because of the potential existence of other prior art, about which we are currently unaware, that may be relevant to our patent applications and patents and that may prevent a pending patent application from being granted or result in an issued patent being held invalid or unenforceable. Moreover, the relevant standards for granting and reviewing patents vary among the countries in which we pursue patents.</w:t>
      </w:r>
    </w:p>
    <w:p>
      <w:pPr>
        <w:spacing w:after="0" w:line="2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some patent-related uncertainty exists because of the challenge of finding and addressing all of the relevant and material prior art in the biotechnology and pharmaceutical fields. For example, there are numerous reports in the scientific literature of compounds that target similar cellular receptors as do certain of our product candidates or that were evaluated in early (often pre-clinical) studies that did not progress to regulatory approval. Another source of uncertainty pertains to patent properties that were in-licensed by us for which prior art submissions were under the control of the licensor. We rely on these licensors to satisfy the relevant disclosure obligations.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any prior art is deemed to be invalidating prior art, it may cause certain of our issued patents to be invalid and/or unenforceable, which would cause us to lose at least part, and perhaps all, of the patent protection on relevant product candidates. Such a loss of patent protection would have a material adverse impact on our business.</w:t>
      </w:r>
    </w:p>
    <w:p>
      <w:pPr>
        <w:spacing w:after="0" w:line="1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USPTO and various other foreign governmental patent agencies require compliance with a number of procedural, documentary, fee payment, and other provisions during the patent process. There are situations in which noncompliance can result in the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0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patents are granted in the U.S. or other countries, third parties may challenge the validity, enforceability, or scope of such issued patents or any other issued patents we own or license, which may result in such patents being narrowed, invalidated, or held unenforceable.</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and foreign patents and patent applications may be subject to various types of infringement and validity proceedings, including interference proceedings, ex parte reexamination, inter partes review proceedings, supplemental examination, and challenges in district court. Patents may be subjected to opposition, post-grant review, invalidity actions, or comparable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proceedings lodged in various foreign, both national and regional, patent offices or courts. These proceedings could result in loss of a patent or rejection of a patent application or loss or reduction in the scope of one or more of the claims of the patent or patent in such a way that they no longer cover our product candidates or competitive products of third parties.</w:t>
      </w:r>
    </w:p>
    <w:p>
      <w:pPr>
        <w:spacing w:after="0" w:line="19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Furthermore, though an issued patent is presumed valid and enforceable, its issuance is not conclusive as to its validity or its enforceability, and the patent may not provide us with adequate proprietary protection or competitive advantages against competitors with similar products. Even if a patent is granted and is held to be valid and enforceable, competitors may be able to design around our patents, for example, by using pre-existing or newly developed technology or non-infringing formulations, devices, or methods of their use. Other parties may develop and obtain patent protection for more effective technologies, designs, or methods.</w:t>
      </w:r>
    </w:p>
    <w:p>
      <w:pPr>
        <w:spacing w:after="0" w:line="2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If we or one of our licensing partners initiated legal proceedings against a third party to enforce a patent covering one of our product candidates, the defendant could counterclaim that the patent covering our product candidate is invalid and/or unenforceable. In patent litigation in the U.S., defendant counterclaims alleging invalidity and/or unenforceability are commonplace. Grounds for a validity challenge include alleged failures to meet any of several statutory requirements, including lack of novelty, obviousness, and non-enablement. Grounds for unenforceability assertions include allegations that someone connected with the prosecution of the patent withheld relevant information from the USPTO or made a misleading statement during prosecution.</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Third parties may also raise similar claims before administrative bodies in the U.S. or abroad, even outside the context of litigation.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such patent-related proceedings may be costly. Thus, any patent properties that we may own or exclusively license ultimately may not provide commercially meaningful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may not be able to prevent the unauthorized disclosure or use of our technical knowledge or trade secrets by consultants, vendors, or former or current employees. The laws of some foreign countries do not protect our proprietary rights to the same extent as the laws of the U.S., and we may encounter significant problems in protecting our proprietary rights in these countries. If these developments were to occur, they could have a material adverse effect on our sales.</w:t>
      </w:r>
    </w:p>
    <w:p>
      <w:pPr>
        <w:spacing w:after="0" w:line="2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ability to enforce our patent rights also depends on our ability to detect infringement. It is difficult to detect infringers who do not advertise the components or manufacturing processes that are used in their products. Moreover, it may be difficult or impossible to obtain evidence of infringement by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we initiate, or in which we participate as a third party, and the damages or other remedies awarded if we prevailed may not be commercially meaningful.</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could be materially and adversely impacted. In addition, if a court found that valid, enforceable patents held by third parties covered our product candidates, our financial position and results of operations could also be materially and adversely impacted.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the degree of future protection for our proprietary rights is uncertain, and we cannot ensure that:</w:t>
      </w:r>
    </w:p>
    <w:p>
      <w:pPr>
        <w:spacing w:after="0" w:line="239" w:lineRule="exact"/>
        <w:rPr>
          <w:sz w:val="20"/>
          <w:szCs w:val="20"/>
          <w:color w:val="auto"/>
        </w:rPr>
      </w:pPr>
    </w:p>
    <w:p>
      <w:pPr>
        <w:jc w:val="both"/>
        <w:ind w:left="660" w:hanging="328"/>
        <w:spacing w:after="0" w:line="258"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granted patents related to our product candidates or any pending patent applications, if granted and challenged by others, will include or maintain claims having a scope sufficient to protect these product candidates or any other products or product candidates against generic or other competition, particularly considering that any patent rights to these compounds per se have expired;</w:t>
      </w:r>
    </w:p>
    <w:p>
      <w:pPr>
        <w:spacing w:after="0" w:line="19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 at all;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commercialize our product candidates, if approved, before our relevant patents expire;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 and pending patent applications;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our patents;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use pre-existing technology to effectively compete against us;</w:t>
      </w:r>
    </w:p>
    <w:p>
      <w:pPr>
        <w:spacing w:after="0" w:line="23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if issued, will ultimately be found to be valid and enforceable, including on the basis of prior art relating to our patent applications and patents;</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of our U.S. patents, if issued, will be eligible for listing in the FDA’s “Approved Drug Products with Therapeutics Equivalents Evaluations” (commonly known as </w:t>
      </w:r>
      <w:r>
        <w:rPr>
          <w:rFonts w:ascii="Times New Roman" w:cs="Times New Roman" w:eastAsia="Times New Roman" w:hAnsi="Times New Roman"/>
          <w:sz w:val="18"/>
          <w:szCs w:val="18"/>
          <w:i w:val="1"/>
          <w:iCs w:val="1"/>
          <w:color w:val="auto"/>
        </w:rPr>
        <w:t>the Orange Book</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that are listed in the Orange Book may be challenged by the Federal Trade Commission or other as being listed inappropriately and subsequently removed, thereby depriving the Company of significant patent enforcement protections;</w:t>
      </w:r>
    </w:p>
    <w:p>
      <w:pPr>
        <w:spacing w:after="0" w:line="18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currently held or issued to us in the future will provide a basis for an exclusive market for our commercially viable products, will provide us with any competitive advantages or will not be challenged by third parties;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 candidates that are separately patentable; or</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activities or products will not infringe the patents or proprietary rights of others.</w:t>
      </w:r>
    </w:p>
    <w:p>
      <w:pPr>
        <w:spacing w:after="0" w:line="25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also may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who is not a party to such an agreement. Furthermore, if the employees, collaborators, and consultants who are parties to these agreements breach or violate the terms of these agreements, we may not discover or have adequate remedies for any such breach or violation, and we could lose our trade secrets through such breaches or violations. Further, our trade secrets could otherwise become known or be independently discovered by our competitors and we may thereby lose intellectual property protection.</w:t>
      </w:r>
    </w:p>
    <w:p>
      <w:pPr>
        <w:spacing w:after="0" w:line="2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against us, alleging that we infringe their intellectual property rights, which may prevent or delay our product development efforts and stop us from commercializing candidate products or increase the costs of commercializing them if approved. Also, we may file counterclaims or initiate other legal proceedings against third parties to challenge the validity or scope of their intellectual property rights, the outcomes of which also would be uncertain and a failure to prevail in such proceedings could have a material adverse effect on the success of our business.</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cannot assure that our business, product candidates, and proprietary methods do not or will not infringe the patents or other intellectual property rights of third parties. Third parties may initiate legal proceedings against us or our licensors or collaborators, alleging that we or our licensors or collaborators infringe their intellectual property rights. In addition, we or our licensors or collaborators may file counterclaims in such proceedings or initiate separate legal proceedings against third parties to challenge the validity or scope of their intellectual property rights, including in oppositions, interferences, reexaminations, inter partes reviews, or derivation proceedings before the U.S. or other jurisdictions.</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intellectual property and proprietary rights of third parties. Success also will depend on our ability to prevail in litigation if we are sued for infringement or to resolve litigation matters with rights and at costs favorable to us.</w:t>
      </w:r>
    </w:p>
    <w:p>
      <w:pPr>
        <w:spacing w:after="0" w:line="20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biopharmaceutical industry is characterized by extensive litigation regarding patents and other intellectual property rights. Other parties may allege that our product candidates or the use of our technologies infringe their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their business strategies designed to impede our successful commercialization. There may be third-party patents or patent applications with claims to materials, formulations, devices, methods of manufacture or methods for treatment related to the use or manufacture of</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candidates. Because patent applications can take many years to issue, third parties may have currently pending patent applications that later result in issued patents that our product candidates may infringe, or that such third parties assert are infringed by our technologies.</w:t>
      </w: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foregoing types of proceedings can be expensive and time-consuming and many of our own or our licensors’ or collaborators’ adversaries in these proceedings may have the ability to dedicate substantially greater resources to prosecuting these kinds of legal actions than we or our licensors or collaborators can dedicate. Our defense of litigation or other proceedings may fail and, even if successful, may result in substantial costs and distract our management and other employees. We may not be able to prevent, alone or with our licensors, the misappropriation of our intellectual property rights, particularly in countries where the laws may not protect those rights as fully as in the U.S. or the European Union.</w:t>
      </w:r>
    </w:p>
    <w:p>
      <w:pPr>
        <w:spacing w:after="0" w:line="2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financial resources to bring these actions to a successful conclusion.</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 unfavorable outcome in the foregoing kinds of proceedings could require us or our licensors or collaborators to cease using the related technology or developing or commercializing one or more of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Patent litigation and other types of intellectual property litigation can involve complex factual and legal questions, and litigation outcomes are uncertain. Any claim relating to intellectual property infringement that is successfully asserted against us may require us to pay substantial damages, including treble damages and attorney’s fees if we are found to have willfully infringed a third party’s patents, for past use of the asserted intellectual property and royalties and other consideration going forward if we are forced to take a license. In addition, if any such claim is successfully asserted against us and we are unable to obtain such a license, we may be forced to stop or delay developing, manufacturing, selling or otherwise commercializing one or more of our product candidates.</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Patent litigation and other types of intellectual property litigation is costly and time-consuming. We may not have sufficient resources to bring these actions to a successful conclusion. 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intellectual property litigation or claims could force us to do one or more of the following:</w:t>
      </w:r>
    </w:p>
    <w:p>
      <w:pPr>
        <w:spacing w:after="0" w:line="252"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developing, selling or otherwise commercializing our product candidates;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past use of the asserted intellectual property;</w:t>
      </w:r>
    </w:p>
    <w:p>
      <w:pPr>
        <w:spacing w:after="0" w:line="23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asserted intellectual property, which license may not be available on commercially reasonable terms, if at all; and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20" w:hanging="328"/>
        <w:spacing w:after="0" w:line="266"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risks coming to fruition could have a material adverse effect on our business, results of operations, financial condition and prospects.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2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their intellectual property to his or her employing institution.</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and jurisdictions throughout the world is prohibitively expensive, and our intellectual property rights in some countries outside the U.S. could be absent, unavailable or less extensive than those in the U.S., assuming that rights are obtained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The statutory deadlines for pursuing patent protection in individual foreign jurisdictions are based on the priority filing date of each of our patent applications and the time periods allowed for filing related applications in a given country. Thus, for each of the patent families that we believe provide coverage for our lead product candidates or technologies, we must decide where and when to pursue protection outside the U.S.</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22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and pharmaceuticals.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under certain circumstances.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in relevant foreign jurisdictions may be inadequate to obtain a significant commercial advantage from the intellectual property that we develop or license.</w:t>
      </w: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that we have licensed may have been discovered through government-funded programs and thus may be subject to federal regulations such as “march-in” rights, certain reporting requirements, and a preference for U.S. industry. Compliance with such regulations may limit our exclusive rights, subject us to an expenditure of resources with respect to reporting requirements and limit our ability to contract with non-U.S. manufacturers.</w:t>
      </w:r>
    </w:p>
    <w:p>
      <w:pPr>
        <w:spacing w:after="0" w:line="2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Some of the intellectual property rights we have licensed or may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These U.S. government rights in certain inventions developed under a government-funded program include a non-exclusive, non-transferable, irrevocable worldwide license to use inventions for any governmental purpose.</w:t>
      </w:r>
    </w:p>
    <w:p>
      <w:pPr>
        <w:spacing w:after="0" w:line="2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Also, the U.S. government may acquire title to these inventions in any country in which a patent application is not filed within specified time limits.</w:t>
      </w:r>
    </w:p>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Intellectual property generated under a government-funded program is further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U.S.to the extent they are commercialized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not a current priority, in the event that we apply for additional U.S. government funding, and we discover compounds or drug candidates as a result of such funding, intellectual property rights to such discoveries may be subject to the applicable provisions of the Bayh-Dole Act.</w:t>
      </w:r>
    </w:p>
    <w:p>
      <w:pPr>
        <w:spacing w:after="0" w:line="1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additional protection under the Hatch-Waxman Amendments and similar foreign legislation by extending the patent terms or obtaining regulatory and data exclusivity for our product candidates, our business may be materially harmed.</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U.S., 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fasedienol, itruvone, or AV-101 is used in another drug company’s product candidate and that product candidate is the first to obtain FDA approval.</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Similar kinds of patent term and regulatory and data protection periods are available outside of the U.S. We will pursue such opportunities to extend the exclusivity of our products, but we cannot predict the availability of such exclusivity pathways or that we will be successful in pursuing them.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2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In addition, the U.S., in recent years,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2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recent U.S. Supreme Court rulings have narrowed the scope of patent protection available in certain circumstances and weakened the rights of patent owners in certain situations. The full impact of these decisions is not yet known. Recent court decisions and related USPTO examination guidelines must be considered, particularly as they relate to changes in what types of inventions are eligible for patent protection. Foreign patent and intellectual property laws are also evolving and are not predictable as to their impact on the Company and other biopharmaceutical companies.</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to increasing uncertainty regarding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2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9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another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to defend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Numerous factors may limit any potential competitive advantage provided by our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204" w:lineRule="exact"/>
        <w:rPr>
          <w:sz w:val="20"/>
          <w:szCs w:val="20"/>
          <w:color w:val="auto"/>
        </w:rPr>
      </w:pPr>
    </w:p>
    <w:p>
      <w:pPr>
        <w:ind w:left="66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a pending patent application that we own;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covering an invention;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our intellectual property rights;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patent applications that we own or license may not lead to issued patents;</w:t>
      </w:r>
    </w:p>
    <w:p>
      <w:pPr>
        <w:spacing w:after="0" w:line="23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if issued, that we own or license may not provide us with any competitive advantages, or may be held invalid or unenforceable or be narrowed, as a result of legal challenges by our competitors;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or useful licenses on reasonable terms or at all;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and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volatility may affect our stock price and the value of your investment.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market price for our common stock, similar to that of other biopharmaceutical companies, is likely to remain highly volatile. The market price of our common stock may fluctuate significantly for no apparent reason or in response to a number of factors, most of which we cannot control, including, among others:</w:t>
      </w:r>
    </w:p>
    <w:p>
      <w:pPr>
        <w:spacing w:after="0" w:line="196"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resulting from uncertainty and general economic conditions;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progress of or results from nonclinical and clinical development activities related to our product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FDA or other regulatory authority to review or approve our product candidates in a timely manner, or at all;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technologies, commercial relationships, acquisitions or other events by us or our competitors;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other neuroscience therapies in development by other companies;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our intellectual property portfolio;</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product candidates, if approved, to achieve commercial success;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trading volumes of similar companies;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overall fluctuations in U.S. debt and equity markets;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operating results;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guidance or securities analysts’ estimates of our financial performance;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and the terms on which we can raise it;</w:t>
      </w:r>
    </w:p>
    <w:p>
      <w:pPr>
        <w:spacing w:after="0" w:line="238"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purchases of large blocks of our common stock, including sales or purchases by our executive officers, directors and significant stockholders;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short positions by holders or non-holders of our stock or warrants;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us or our stock price by the press and by anonymous or other online investor communities;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these risk factors.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issuances of shares of preferred stock in the future</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Restated Articles of Incorporation, as amended (</w:t>
      </w:r>
      <w:r>
        <w:rPr>
          <w:rFonts w:ascii="Times New Roman" w:cs="Times New Roman" w:eastAsia="Times New Roman" w:hAnsi="Times New Roman"/>
          <w:sz w:val="18"/>
          <w:szCs w:val="18"/>
          <w:i w:val="1"/>
          <w:iCs w:val="1"/>
          <w:color w:val="auto"/>
        </w:rPr>
        <w:t>the Articles</w:t>
      </w:r>
      <w:r>
        <w:rPr>
          <w:rFonts w:ascii="Times New Roman" w:cs="Times New Roman" w:eastAsia="Times New Roman" w:hAnsi="Times New Roman"/>
          <w:sz w:val="18"/>
          <w:szCs w:val="18"/>
          <w:color w:val="auto"/>
        </w:rPr>
        <w:t>), permit us to issue up to 10.0 million shares of preferred stock. As a result, our Board could authorize the issuance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costs to ensure compliance with corporate governance, federal securities law and accounting requirements</w:t>
      </w:r>
      <w:r>
        <w:rPr>
          <w:rFonts w:ascii="Times New Roman" w:cs="Times New Roman" w:eastAsia="Times New Roman" w:hAnsi="Times New Roman"/>
          <w:sz w:val="18"/>
          <w:szCs w:val="18"/>
          <w:b w:val="1"/>
          <w:bCs w:val="1"/>
          <w:color w:val="auto"/>
        </w:rPr>
        <w:t>.</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We are subject to the reporting requirements of the Exchange Act which requires that we file annual, quarterly and current reports with respect to our business and financial condition, and the rules and regulations implemented by the SEC, the Sarbanes-Oxley Act of 2002, as amended (the </w:t>
      </w:r>
      <w:r>
        <w:rPr>
          <w:rFonts w:ascii="Times New Roman" w:cs="Times New Roman" w:eastAsia="Times New Roman" w:hAnsi="Times New Roman"/>
          <w:sz w:val="18"/>
          <w:szCs w:val="18"/>
          <w:i w:val="1"/>
          <w:iCs w:val="1"/>
          <w:color w:val="auto"/>
        </w:rPr>
        <w:t>Sarbanes-Oxley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the Dodd-Frank Act, and the Public Company Accounting Oversight Board, each of which imposes additional reporting and other obligations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significant resources that we could otherwise use to achieve our research and development and other strategic objectives.</w:t>
      </w:r>
    </w:p>
    <w:p>
      <w:pPr>
        <w:spacing w:after="0" w:line="22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2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governing bodies due to ambiguities related to their application and practice, regulatory authorities may initiate legal proceedings against us, and our business may be adversely affected.</w:t>
      </w:r>
    </w:p>
    <w:p>
      <w:pPr>
        <w:spacing w:after="0" w:line="19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amount of our future losses is uncertain and our quarterly and annual operating results may fluctuate significantly or fall below the expectations of investors or securities analysts, each of which may cause our stock price to fluctuate or decline.</w:t>
      </w:r>
    </w:p>
    <w:p>
      <w:pPr>
        <w:spacing w:after="0" w:line="18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in the future due to a variety of factors, many of which are outside of our control and may be difficult to predict, including the following:</w:t>
      </w:r>
    </w:p>
    <w:p>
      <w:pPr>
        <w:spacing w:after="0" w:line="175" w:lineRule="exact"/>
        <w:rPr>
          <w:sz w:val="20"/>
          <w:szCs w:val="20"/>
          <w:color w:val="auto"/>
        </w:rPr>
      </w:pPr>
    </w:p>
    <w:p>
      <w:pPr>
        <w:ind w:left="660" w:right="20" w:hanging="328"/>
        <w:spacing w:after="0" w:line="266"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clinical trials for our product candidates or competing product candidates, or any other change in the competitive landscape of our industry,</w:t>
      </w:r>
    </w:p>
    <w:p>
      <w:pPr>
        <w:spacing w:after="0" w:line="20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recruit, enroll and retain subjects who meet our eligibility criteria for participation in our clinical trials, and any delays caused by difficulties in such efforts;</w:t>
      </w:r>
    </w:p>
    <w:p>
      <w:pPr>
        <w:spacing w:after="0" w:line="18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marketing approval for our product candidates and the timing and scope of any such approvals we may receive;</w:t>
      </w:r>
    </w:p>
    <w:p>
      <w:pPr>
        <w:spacing w:after="0" w:line="23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and commercialization activities relating to our product candidates, which may change from time to time;</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which may vary depending on the quantity of production and the terms of our agreements with contract manufacturers;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qualified personnel;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develop additional product candidates;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 candidates should they receive approval, which may vary significantly;</w:t>
      </w:r>
    </w:p>
    <w:p>
      <w:pPr>
        <w:spacing w:after="0" w:line="252"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U.S. and global economic and political environments, including the impact of inflation and rising interest rates, and domestic or international political instability; and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25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operating results or revenue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of potential volatility in our trading price and trading volume, we may incur significant costs from class action securities litigation.</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The stock market in general, and the Nasdaq Stock Market </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and biotechnology and pharmaceutical companies in particular, have experienced extreme price and volume fluctuations that have often been unrelated or disproportionate to the operating performance of these companies. Historically, securities class action litigation has often been brought against companies following periods of volatility in the market price of a company’s securities. For example, purported stockholders of the Company filed a lawsuit in the United States District Court for the Northern District of California against the Company and certain of our executive officers, the members of our Board and certain other parties, claiming, under the U.S. federal securities laws and certain California civil statutes, among other things, allegedly false or misleading statements, and alleged omissions of material facts, related to our public disclosures. We believe the claims are without merit and intend to vigorously defend all claims. This type of litigation could result in substantial costs and a diversion of management’s attention and resources, which could harm our business, operating results, or financial condition. Additionally, the dramatic increase in the cost of directors’ and officers’ liability insurance may cause us to opt for lower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policy limits or to forgo insurance that we may otherwise rely on to cover significant defense costs, settlements, and damages awarded to plaintiffs.</w:t>
      </w:r>
    </w:p>
    <w:p>
      <w:pPr>
        <w:spacing w:after="0" w:line="2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stock incentive plans or otherwise may, and likely will significantly dilute all other stockholders.</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may, and likely will result in substantial dilution to all of our stockholders. We expect to grant equity awards to employees and directors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will cause stockholders to experience significant dilution of their ownership interests and the per share value of our common stock to decline.</w:t>
      </w: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185"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have no current plans to pay cash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your sole source of gain for the foreseeable future.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by us may adversely affect the market price of our common stock.</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common stock or offering debt or other equity securities, including commercial paper, medium-term notes, senior or subordinated notes, debt securities convertible into equity or shares of preferred stock.</w:t>
      </w:r>
    </w:p>
    <w:p>
      <w:pPr>
        <w:spacing w:after="0" w:line="19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Issuing additional shares of our common stock or other equity securities or securities convertible into equity will dilute the economic and voting rights of our existing stockholders and may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Adverse market or macroeconomic conditions or market volatility resulting from global economic and political developments, including those affecting the financial services industry, could adversely affect our business operations and our financial condition and results of operations.</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Adverse market or macroeconomic and political conditions or market volatility resulting from global economic developments, political activity and uncertainty, high inflation, rising interest rates, the post-COVID environment or other factors, could materially and adversely affect our business operations. For instance,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These events could result in a variety of material and adverse impacts on our current and projected business operations and our financial condition and results of operations.</w:t>
      </w:r>
    </w:p>
    <w:p>
      <w:pPr>
        <w:spacing w:after="0" w:line="2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addition, any deterioration in the macroeconomic economy or financial services industry could lead to losses or defaults by our partners, vendors or suppliers, which in turn, could have a material adverse effect on our current and/or projected business operations and results of operations and financial condition. For example, a partner may fail to make payments when due, default under their agreements with us, become insolvent or declare bankruptcy, or a supplier may determine that it will no longer deal with us as a customer. In addition, a vendor or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involving a troubled or failed financial institution. The bankruptcy or insolvency of any partner, vendor or supplier, or the failure of any partner to make payments when due, or any breach or default by a partner, vendor or supplier, or the loss of any significant supplier relationships, could cause us to suffer material losses and may have a material adverse impact on our business.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could adversely affect our business and financial condition.</w:t>
      </w:r>
    </w:p>
    <w:p>
      <w:pPr>
        <w:spacing w:after="0" w:line="2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research and development tax credits to offset future taxable income may be subject to certain limitations.</w:t>
      </w:r>
    </w:p>
    <w:p>
      <w:pPr>
        <w:spacing w:after="0" w:line="1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As of March 31, 2025, we had U.S. federal net operating loss carryforwards totaling $229.2 million. Federal net operating loss carryforwards of approximately $82.1 million generated through our fiscal year ended March 31, 2018 will expire in our fiscal years ending March 31, 2025 through March 31, 2038. Federal net operating loss carryforwards of approximately $147.1 million generated in fiscal years ending after March 31, 2018 will carry forward indefinitely, but are subject to an 80% taxable income limitation. As of March 31, 2025, we had state net operating loss carryforwards totaling $66.6 million, which expire at various dates between 2029 and 2045. As of March 31, 2025, we also had U.S. federal and state research and development tax credit carryforwards of $7.6 million and $2.0 million, respectively. The federal tax credits will expire at various dates beginning with our fiscal year ending March 31, 2029, unless previously utilized. The state tax credits do not expire and will carry forward indefinitely until utilized. The net operating losses which are limited in life and tax credit carryforwards could expire unused and be unavailable to offset future income tax liabilities. In addition, in general, under Sections 382 and 383 of the Internal Revenue Code of 1986, as amended (the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a corporation that undergoes an “ownership change” is subject to limitations on its ability to utilize its pre-change net operating losses (</w:t>
      </w:r>
      <w:r>
        <w:rPr>
          <w:rFonts w:ascii="Times New Roman" w:cs="Times New Roman" w:eastAsia="Times New Roman" w:hAnsi="Times New Roman"/>
          <w:sz w:val="18"/>
          <w:szCs w:val="18"/>
          <w:i w:val="1"/>
          <w:iCs w:val="1"/>
          <w:color w:val="auto"/>
        </w:rPr>
        <w:t>NOLs</w:t>
      </w:r>
      <w:r>
        <w:rPr>
          <w:rFonts w:ascii="Times New Roman" w:cs="Times New Roman" w:eastAsia="Times New Roman" w:hAnsi="Times New Roman"/>
          <w:sz w:val="18"/>
          <w:szCs w:val="18"/>
          <w:color w:val="auto"/>
        </w:rPr>
        <w:t>) or tax credits or credits, to offset future taxable income or taxes. For these purposes, an ownership change generally occurs where the aggregate stock ownership of one or more stockholders or groups of stockholders who own at least 5% of a corporation’s stock increase their ownership by more than 50 percentage points over their lowest ownership percentage within a specified testing period. Our existing NOLs or credits may be subject to limitations arising from previous ownership changes, and if we undergo an ownership change in the future, our ability to utilize NOLs or credits could be further limited by Sections 382 and 383 of the Code. In addition, future changes in our stock ownership, many of which are outside of our control, could result in an ownership change under Sections 382 and 383 of the Code. Our NOLs or credits may also be impaired under state law. Accordingly, we may not be able to utilize a material portion of our NOLs or credits. If we determine that an ownership change has occurred and our ability to use our historical NOLs or credits is materially limited, it would harm our future operating results by effectively increasing our future tax obligations. Section 382 and 383 of the Code would apply to all net operating loss and tax credit carryforwards, whether the carryforward period is indefinite or not.</w:t>
      </w:r>
    </w:p>
    <w:p>
      <w:pPr>
        <w:spacing w:after="0" w:line="2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Furthermore, our ability to utilize our historical NOLs or credits is conditioned upon us attaining profitability and generating U.S. federal and state taxable income. We are a clinical-stage biopharmaceutical company with a limited operating history. We have incurred significant net losses since our inception and anticipate that we will continue to incur significant losses for the foreseeable future; and therefore, we do not know whether or when we will generate the U.S. federal or state taxable income necessary to utilize our historical NOLs or credits that may be subject to limitation by Sections 382 and 383 of the Code.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9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we conduct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identify any future material weaknesses, the accuracy and timing of our financial reporting may be adversely affected, we may be unable to maintain compliance with securities law requirements regarding timely filing of periodic reports or applicable stock exchange listing requirements, investors may lose confidence in our financial reporting and our stock price may decline as a result. We also could become subject to investigations by Nasdaq, the SEC or other regulatory authorities.</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Reports published by analysts, including projections in those reports that differ from our actual results, could adversely affect the price and trading volume of our common stock.</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Independent securities research analysts may establish and publish their own periodic analysis of and projections relating to our operation and prospects. These analyses and projections may vary widely and may not accurately predict the results we actually achieve. Our share price may decline if our actual results do not match the analyses and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spacing w:after="0" w:line="20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Although we are currently in compliance with all applicable Nasdaq continued listing standards, there can be no assurance that we will be able to continue to comply with such Nasdaq continued listing standards in the future.</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in the future, Nasdaq delists our shares of common stock from trading on its exchange for failure to meet Nasdaq’s continued listing standards, we and our stockholders could face significant material adverse consequences including:</w:t>
      </w:r>
    </w:p>
    <w:p>
      <w:pPr>
        <w:spacing w:after="0" w:line="189"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238"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of our common stock may fluctuate due to a variety of factors, including:</w:t>
      </w:r>
    </w:p>
    <w:p>
      <w:pPr>
        <w:spacing w:after="0" w:line="239"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industries in which we and our customers operate;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performance and the performance of our competitors in general;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and adverse impact of the COVID-19 pandemic and post-COVID environment on the markets and the broader global economy;</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our competitors or our industry;</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common stock available for public sale; and</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rising or unchanged interest rates, inflation, fuel prices, foreign currency fluctuations, international tariffs, boycotts, curtailment of trade and other business restrictions, social, political and economic risks, natural disasters and acts of war or terrorism, such as the conflicts involving Ukraine and Russia, or Israel and its surrounding regions.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market and industry factors may materially reduce the market price of shares of our common stock regardless of our operating performance.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9920" w:type="dxa"/>
            <w:vAlign w:val="bottom"/>
          </w:tcPr>
          <w:p>
            <w:pPr>
              <w:spacing w:after="0"/>
              <w:rPr>
                <w:sz w:val="20"/>
                <w:szCs w:val="20"/>
                <w:color w:val="auto"/>
              </w:rPr>
            </w:pPr>
          </w:p>
        </w:tc>
      </w:tr>
      <w:tr>
        <w:trPr>
          <w:trHeight w:val="427"/>
        </w:trPr>
        <w:tc>
          <w:tcPr>
            <w:tcW w:w="2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w:t>
            </w:r>
          </w:p>
        </w:tc>
        <w:tc>
          <w:tcPr>
            <w:tcW w:w="99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w:t>
            </w: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Description</w:t>
            </w:r>
          </w:p>
        </w:tc>
      </w:tr>
      <w:tr>
        <w:trPr>
          <w:trHeight w:val="378"/>
        </w:trPr>
        <w:tc>
          <w:tcPr>
            <w:tcW w:w="13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Certification of the Principal Executive Officer required by Rule 13a-14(a) under the Securities Exchange Act of 1934, as amended, as</w:t>
            </w:r>
          </w:p>
        </w:tc>
      </w:tr>
      <w:tr>
        <w:trPr>
          <w:trHeight w:val="223"/>
        </w:trPr>
        <w:tc>
          <w:tcPr>
            <w:tcW w:w="20" w:type="dxa"/>
            <w:vAlign w:val="bottom"/>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60" w:type="dxa"/>
            <w:vAlign w:val="bottom"/>
          </w:tcPr>
          <w:p>
            <w:pPr>
              <w:spacing w:after="0"/>
              <w:rPr>
                <w:sz w:val="19"/>
                <w:szCs w:val="19"/>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216"/>
        </w:trPr>
        <w:tc>
          <w:tcPr>
            <w:tcW w:w="13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Certification of the Principal Financial Officer required by Rule 13a-14(a) under the Securities Exchange Act of 1934, as amended, as</w:t>
            </w:r>
          </w:p>
        </w:tc>
      </w:tr>
      <w:tr>
        <w:trPr>
          <w:trHeight w:val="223"/>
        </w:trPr>
        <w:tc>
          <w:tcPr>
            <w:tcW w:w="20" w:type="dxa"/>
            <w:vAlign w:val="bottom"/>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60" w:type="dxa"/>
            <w:vAlign w:val="bottom"/>
          </w:tcPr>
          <w:p>
            <w:pPr>
              <w:spacing w:after="0"/>
              <w:rPr>
                <w:sz w:val="19"/>
                <w:szCs w:val="19"/>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216"/>
        </w:trPr>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rPr>
              <w:t>32*</w:t>
            </w:r>
          </w:p>
        </w:tc>
        <w:tc>
          <w:tcPr>
            <w:tcW w:w="86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Certification of the Principal Executive and Financial Officers required by Rule 13a-14(b) and Section 1350 of Chapter 63 of Title 18 of</w:t>
            </w:r>
          </w:p>
        </w:tc>
      </w:tr>
      <w:tr>
        <w:trPr>
          <w:trHeight w:val="223"/>
        </w:trPr>
        <w:tc>
          <w:tcPr>
            <w:tcW w:w="20" w:type="dxa"/>
            <w:vAlign w:val="bottom"/>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United States Code, as adopted pursuant to Section 906 of the Sarbanes-Oxley Act of 2002</w:t>
            </w:r>
          </w:p>
        </w:tc>
      </w:tr>
      <w:tr>
        <w:trPr>
          <w:trHeight w:val="225"/>
        </w:trPr>
        <w:tc>
          <w:tcPr>
            <w:tcW w:w="20" w:type="dxa"/>
            <w:vAlign w:val="bottom"/>
          </w:tcPr>
          <w:p>
            <w:pPr>
              <w:spacing w:after="0"/>
              <w:rPr>
                <w:sz w:val="19"/>
                <w:szCs w:val="19"/>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 *</w:t>
            </w: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w:t>
            </w:r>
          </w:p>
        </w:tc>
      </w:tr>
      <w:tr>
        <w:trPr>
          <w:trHeight w:val="234"/>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document.</w:t>
            </w:r>
          </w:p>
        </w:tc>
      </w:tr>
      <w:tr>
        <w:trPr>
          <w:trHeight w:val="256"/>
        </w:trPr>
        <w:tc>
          <w:tcPr>
            <w:tcW w:w="20" w:type="dxa"/>
            <w:vAlign w:val="bottom"/>
          </w:tcPr>
          <w:p>
            <w:pPr>
              <w:spacing w:after="0"/>
              <w:rPr>
                <w:sz w:val="22"/>
                <w:szCs w:val="22"/>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57"/>
        </w:trPr>
        <w:tc>
          <w:tcPr>
            <w:tcW w:w="20" w:type="dxa"/>
            <w:vAlign w:val="bottom"/>
          </w:tcPr>
          <w:p>
            <w:pPr>
              <w:spacing w:after="0"/>
              <w:rPr>
                <w:sz w:val="22"/>
                <w:szCs w:val="22"/>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57"/>
        </w:trPr>
        <w:tc>
          <w:tcPr>
            <w:tcW w:w="20" w:type="dxa"/>
            <w:vAlign w:val="bottom"/>
          </w:tcPr>
          <w:p>
            <w:pPr>
              <w:spacing w:after="0"/>
              <w:rPr>
                <w:sz w:val="22"/>
                <w:szCs w:val="22"/>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57"/>
        </w:trPr>
        <w:tc>
          <w:tcPr>
            <w:tcW w:w="20" w:type="dxa"/>
            <w:vAlign w:val="bottom"/>
          </w:tcPr>
          <w:p>
            <w:pPr>
              <w:spacing w:after="0"/>
              <w:rPr>
                <w:sz w:val="22"/>
                <w:szCs w:val="22"/>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57"/>
        </w:trPr>
        <w:tc>
          <w:tcPr>
            <w:tcW w:w="20" w:type="dxa"/>
            <w:vAlign w:val="bottom"/>
          </w:tcPr>
          <w:p>
            <w:pPr>
              <w:spacing w:after="0"/>
              <w:rPr>
                <w:sz w:val="22"/>
                <w:szCs w:val="22"/>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256"/>
        </w:trPr>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tcPr>
          <w:p>
            <w:pPr>
              <w:spacing w:after="0"/>
              <w:rPr>
                <w:sz w:val="22"/>
                <w:szCs w:val="22"/>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65" w:lineRule="exact"/>
        <w:rPr>
          <w:sz w:val="20"/>
          <w:szCs w:val="20"/>
          <w:color w:val="auto"/>
        </w:rPr>
      </w:pPr>
    </w:p>
    <w:p>
      <w:pPr>
        <w:ind w:left="320" w:hanging="312"/>
        <w:spacing w:after="0"/>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9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66" w:lineRule="exact"/>
        <w:rPr>
          <w:sz w:val="20"/>
          <w:szCs w:val="20"/>
          <w:color w:val="auto"/>
        </w:rPr>
      </w:pPr>
    </w:p>
    <w:p>
      <w:pPr>
        <w:ind w:left="20"/>
        <w:spacing w:after="0"/>
        <w:tabs>
          <w:tab w:leader="none" w:pos="5100" w:val="left"/>
        </w:tabs>
        <w:rPr>
          <w:sz w:val="20"/>
          <w:szCs w:val="20"/>
          <w:color w:val="auto"/>
        </w:rPr>
      </w:pPr>
      <w:r>
        <w:rPr>
          <w:rFonts w:ascii="Times New Roman" w:cs="Times New Roman" w:eastAsia="Times New Roman" w:hAnsi="Times New Roman"/>
          <w:sz w:val="18"/>
          <w:szCs w:val="18"/>
          <w:color w:val="auto"/>
        </w:rPr>
        <w:t>Dated: August 7, 2025</w:t>
      </w:r>
      <w:r>
        <w:rPr>
          <w:sz w:val="20"/>
          <w:szCs w:val="20"/>
          <w:color w:val="auto"/>
        </w:rPr>
        <w:tab/>
      </w:r>
      <w:r>
        <w:rPr>
          <w:rFonts w:ascii="Times New Roman" w:cs="Times New Roman" w:eastAsia="Times New Roman" w:hAnsi="Times New Roman"/>
          <w:sz w:val="17"/>
          <w:szCs w:val="17"/>
          <w:u w:val="single" w:color="auto"/>
          <w:color w:val="auto"/>
        </w:rPr>
        <w:t>/s/ Shawn K. Singh, JD</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Shawn K. Singh, JD</w:t>
      </w:r>
    </w:p>
    <w:p>
      <w:pPr>
        <w:spacing w:after="0" w:line="4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1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4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u w:val="single" w:color="auto"/>
          <w:color w:val="auto"/>
        </w:rPr>
        <w:t>/s/ Cynthia L. Anderson</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Cynthia L. Anderson</w:t>
      </w:r>
    </w:p>
    <w:p>
      <w:pPr>
        <w:spacing w:after="0" w:line="4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Chief Financial Officer and Treasurer</w:t>
      </w:r>
    </w:p>
    <w:p>
      <w:pPr>
        <w:spacing w:after="0" w:line="1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121"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Shawn K. Singh, certify that;</w:t>
      </w:r>
    </w:p>
    <w:p>
      <w:pPr>
        <w:spacing w:after="0" w:line="185"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Vistagen Therapeutics, Inc.;</w:t>
      </w:r>
    </w:p>
    <w:p>
      <w:pPr>
        <w:spacing w:after="0" w:line="19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1"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300" w:hanging="644"/>
        <w:spacing w:after="0" w:line="282" w:lineRule="auto"/>
        <w:tabs>
          <w:tab w:leader="none" w:pos="1288"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7, 2025</w:t>
      </w:r>
    </w:p>
    <w:p>
      <w:pPr>
        <w:spacing w:after="0" w:line="4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27305</wp:posOffset>
            </wp:positionV>
            <wp:extent cx="31375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4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Shawn K. Singh</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03"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Cynthia L. Anderson, certify that:</w:t>
      </w:r>
    </w:p>
    <w:p>
      <w:pPr>
        <w:spacing w:after="0" w:line="185"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Vistagen Therapeutics, Inc.;</w:t>
      </w:r>
    </w:p>
    <w:p>
      <w:pPr>
        <w:spacing w:after="0" w:line="19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299"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29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60" w:hanging="4"/>
        <w:spacing w:after="0" w:line="282" w:lineRule="auto"/>
        <w:tabs>
          <w:tab w:leader="none" w:pos="1299"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29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hanging="4"/>
        <w:spacing w:after="0" w:line="282" w:lineRule="auto"/>
        <w:tabs>
          <w:tab w:leader="none" w:pos="1299"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660" w:hanging="4"/>
        <w:spacing w:after="0" w:line="282" w:lineRule="auto"/>
        <w:tabs>
          <w:tab w:leader="none" w:pos="129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7, 2025</w:t>
      </w:r>
    </w:p>
    <w:p>
      <w:pPr>
        <w:spacing w:after="0" w:line="4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Cynthia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27305</wp:posOffset>
            </wp:positionV>
            <wp:extent cx="31375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4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Cynthia L. Anderson</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03"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for the quarter ended June 30, 2025, as filed with the Securities and Exchange Commission on the date hereof (the “</w:t>
      </w:r>
      <w:r>
        <w:rPr>
          <w:rFonts w:ascii="Times New Roman" w:cs="Times New Roman" w:eastAsia="Times New Roman" w:hAnsi="Times New Roman"/>
          <w:sz w:val="18"/>
          <w:szCs w:val="18"/>
          <w:i w:val="1"/>
          <w:iCs w:val="1"/>
          <w:color w:val="auto"/>
        </w:rPr>
        <w:t>Report</w:t>
      </w:r>
      <w:r>
        <w:rPr>
          <w:rFonts w:ascii="Times New Roman" w:cs="Times New Roman" w:eastAsia="Times New Roman" w:hAnsi="Times New Roman"/>
          <w:sz w:val="18"/>
          <w:szCs w:val="18"/>
          <w:color w:val="auto"/>
        </w:rPr>
        <w:t>”), Shawn K. Singh, JD, the Company’s Principal Executive Officer, and Cynthia L. Anderson, the Company’s Principal Financial Officer, certify, pursuant to 18 U.S.C. §1350, as adopted pursuant to §906 of the Sarbanes-Oxley Act of 2002, that to the best of their knowledge:</w:t>
      </w:r>
    </w:p>
    <w:p>
      <w:pPr>
        <w:spacing w:after="0" w:line="141"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 of Section 13(a) or Section 15 (d) of the Securities Exchange Act of 1934, and</w:t>
      </w:r>
    </w:p>
    <w:p>
      <w:pPr>
        <w:spacing w:after="0" w:line="19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7,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xml:space="preserve">/s/ </w:t>
      </w:r>
      <w:r>
        <w:rPr>
          <w:rFonts w:ascii="Times New Roman" w:cs="Times New Roman" w:eastAsia="Times New Roman" w:hAnsi="Times New Roman"/>
          <w:sz w:val="18"/>
          <w:szCs w:val="18"/>
          <w:i w:val="1"/>
          <w:iCs w:val="1"/>
          <w:u w:val="single" w:color="auto"/>
          <w:color w:val="auto"/>
        </w:rPr>
        <w:t>Shawn K. Singh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Shawn K. Singh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xml:space="preserve">/s/ </w:t>
      </w:r>
      <w:r>
        <w:rPr>
          <w:rFonts w:ascii="Times New Roman" w:cs="Times New Roman" w:eastAsia="Times New Roman" w:hAnsi="Times New Roman"/>
          <w:sz w:val="18"/>
          <w:szCs w:val="18"/>
          <w:i w:val="1"/>
          <w:iCs w:val="1"/>
          <w:u w:val="single" w:color="auto"/>
          <w:color w:val="auto"/>
        </w:rPr>
        <w:t>Cynthia L. Anderson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Cynthia L. Anderson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o"/>
      <w:numFmt w:val="bullet"/>
      <w:start w:val="1"/>
    </w:lvl>
  </w:abstractNum>
  <w:abstractNum w:abstractNumId="2">
    <w:nsid w:val="2901D82"/>
    <w:multiLevelType w:val="hybridMultilevel"/>
    <w:lvl w:ilvl="0">
      <w:lvlJc w:val="left"/>
      <w:lvlText w:val="%1."/>
      <w:numFmt w:val="decimal"/>
      <w:start w:val="2"/>
    </w:lvl>
  </w:abstractNum>
  <w:abstractNum w:abstractNumId="3">
    <w:nsid w:val="3A95F874"/>
    <w:multiLevelType w:val="hybridMultilevel"/>
    <w:lvl w:ilvl="0">
      <w:lvlJc w:val="left"/>
      <w:lvlText w:val="%1."/>
      <w:numFmt w:val="decimal"/>
      <w:start w:val="5"/>
    </w:lvl>
  </w:abstractNum>
  <w:abstractNum w:abstractNumId="4">
    <w:nsid w:val="8138641"/>
    <w:multiLevelType w:val="hybridMultilevel"/>
    <w:lvl w:ilvl="0">
      <w:lvlJc w:val="left"/>
      <w:lvlText w:val="(%1)"/>
      <w:numFmt w:val="lowerLetter"/>
      <w:start w:val="1"/>
    </w:lvl>
  </w:abstractNum>
  <w:abstractNum w:abstractNumId="5">
    <w:nsid w:val="1E7FF521"/>
    <w:multiLevelType w:val="hybridMultilevel"/>
    <w:lvl w:ilvl="0">
      <w:lvlJc w:val="left"/>
      <w:lvlText w:val="(%1)"/>
      <w:numFmt w:val="decimal"/>
      <w:start w:val="90"/>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2025-08-07T16:08:55Z</dcterms:created>
  <dcterms:modified xsi:type="dcterms:W3CDTF">2025-08-07T16:08:55Z</dcterms:modified>
</cp:coreProperties>
</file>