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tgn20230930_10q.htm"/>
      <w:bookmarkStart w:id="1" w:name="ksvtgn20230930_10q"/>
      <w:bookmarkEnd w:id="0"/>
      <w:bookmarkEnd w:id="1"/>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w:t>
      </w:r>
      <w:r>
        <w:rPr>
          <w:rFonts w:ascii="Times New Roman" w:hAnsi="Times New Roman"/>
          <w:caps w:val="false"/>
          <w:smallCaps w:val="false"/>
          <w:sz w:val="32"/>
        </w:rPr>
        <w:t> </w:t>
      </w:r>
      <w:r>
        <w:rPr>
          <w:rFonts w:ascii="Times New Roman" w:hAnsi="Times New Roman"/>
          <w:b/>
          <w:caps w:val="false"/>
          <w:smallCaps w:val="false"/>
          <w:sz w:val="32"/>
        </w:rPr>
        <w:t>10-Q</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230"/>
        <w:gridCol w:w="98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230"/>
        <w:gridCol w:w="986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001-37761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VISTAGEN THERAPEUTICS,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65" w:type="dxa"/>
        <w:jc w:val="left"/>
        <w:tblInd w:w="0" w:type="dxa"/>
        <w:tblLayout w:type="fixed"/>
        <w:tblCellMar>
          <w:top w:w="0" w:type="dxa"/>
          <w:left w:w="0" w:type="dxa"/>
          <w:bottom w:w="0" w:type="dxa"/>
          <w:right w:w="0" w:type="dxa"/>
        </w:tblCellMar>
      </w:tblPr>
      <w:tblGrid>
        <w:gridCol w:w="2570"/>
        <w:gridCol w:w="60"/>
        <w:gridCol w:w="1535"/>
      </w:tblGrid>
      <w:tr>
        <w:trPr/>
        <w:tc>
          <w:tcPr>
            <w:tcW w:w="25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Nevada</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57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(State or other jurisdiction of</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incorporation or organization)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(I.R.S. Employer</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Avenue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 94080</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3500"/>
        <w:gridCol w:w="1535"/>
        <w:gridCol w:w="3575"/>
      </w:tblGrid>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each exchange on which registered</w:t>
            </w:r>
          </w:p>
        </w:tc>
      </w:tr>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685" w:type="dxa"/>
            <w:gridSpan w:val="3"/>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18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November 9, 2023, 27,023,038 shares of the registrant’s common stock, $0.001 par value, were issued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Quarterly Report on 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 Ended September 30, 2023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
        <w:gridCol w:w="9130"/>
        <w:gridCol w:w="411"/>
      </w:tblGrid>
      <w:tr>
        <w:trPr/>
        <w:tc>
          <w:tcPr>
            <w:tcW w:w="664"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9794" w:type="dxa"/>
            <w:gridSpan w:val="2"/>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 FINANCIAL INFORMATION</w:t>
            </w:r>
          </w:p>
        </w:tc>
        <w:tc>
          <w:tcPr>
            <w:tcW w:w="411" w:type="dxa"/>
            <w:tcBorders/>
            <w:shd w:fill="CCEEFF" w:val="clear"/>
            <w:vAlign w:val="center"/>
          </w:tcPr>
          <w:p>
            <w:pPr>
              <w:pStyle w:val="TableContents"/>
              <w:bidi w:val="0"/>
              <w:spacing w:before="0" w:after="283"/>
              <w:jc w:val="left"/>
              <w:rPr/>
            </w:pPr>
            <w:r>
              <w:rPr/>
              <w:t> </w:t>
            </w:r>
          </w:p>
        </w:tc>
      </w:tr>
      <w:tr>
        <w:trPr/>
        <w:tc>
          <w:tcPr>
            <w:tcW w:w="664" w:type="dxa"/>
            <w:tcBorders/>
            <w:shd w:fill="FFFFFF" w:val="clear"/>
            <w:vAlign w:val="center"/>
          </w:tcPr>
          <w:p>
            <w:pPr>
              <w:pStyle w:val="TableContents"/>
              <w:bidi w:val="0"/>
              <w:spacing w:before="0" w:after="283"/>
              <w:jc w:val="left"/>
              <w:rPr/>
            </w:pPr>
            <w:r>
              <w:rPr/>
              <w:t> </w:t>
            </w:r>
          </w:p>
        </w:tc>
        <w:tc>
          <w:tcPr>
            <w:tcW w:w="913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64" w:type="dxa"/>
            <w:tcBorders/>
            <w:shd w:fill="CCEEFF" w:val="clear"/>
            <w:vAlign w:val="center"/>
          </w:tcPr>
          <w:p>
            <w:pPr>
              <w:pStyle w:val="TableContents"/>
              <w:bidi w:val="0"/>
              <w:spacing w:before="0" w:after="283"/>
              <w:jc w:val="left"/>
              <w:rPr/>
            </w:pPr>
            <w:r>
              <w:rPr/>
              <w:t>Item 1.</w:t>
            </w:r>
          </w:p>
        </w:tc>
        <w:tc>
          <w:tcPr>
            <w:tcW w:w="9130" w:type="dxa"/>
            <w:tcBorders/>
            <w:shd w:fill="CCEEFF" w:val="clear"/>
            <w:vAlign w:val="center"/>
          </w:tcPr>
          <w:p>
            <w:pPr>
              <w:pStyle w:val="TableContents"/>
              <w:bidi w:val="0"/>
              <w:spacing w:before="0" w:after="283"/>
              <w:jc w:val="left"/>
              <w:rPr/>
            </w:pPr>
            <w:r>
              <w:rPr/>
              <w:t>Condensed Consolidated Financial Statements (Unaudited)</w:t>
            </w:r>
          </w:p>
        </w:tc>
        <w:tc>
          <w:tcPr>
            <w:tcW w:w="411" w:type="dxa"/>
            <w:tcBorders/>
            <w:shd w:fill="CCEEFF" w:val="clear"/>
            <w:vAlign w:val="center"/>
          </w:tcPr>
          <w:p>
            <w:pPr>
              <w:pStyle w:val="TableContents"/>
              <w:bidi w:val="0"/>
              <w:spacing w:before="0" w:after="283"/>
              <w:jc w:val="left"/>
              <w:rPr/>
            </w:pPr>
            <w:r>
              <w:rPr/>
              <w:t> </w:t>
            </w:r>
          </w:p>
        </w:tc>
      </w:tr>
      <w:tr>
        <w:trPr/>
        <w:tc>
          <w:tcPr>
            <w:tcW w:w="664" w:type="dxa"/>
            <w:tcBorders/>
            <w:shd w:fill="FFFFFF" w:val="clear"/>
            <w:vAlign w:val="center"/>
          </w:tcPr>
          <w:p>
            <w:pPr>
              <w:pStyle w:val="TableContents"/>
              <w:bidi w:val="0"/>
              <w:spacing w:before="0" w:after="283"/>
              <w:jc w:val="left"/>
              <w:rPr/>
            </w:pPr>
            <w:r>
              <w:rPr/>
              <w:t> </w:t>
            </w:r>
          </w:p>
        </w:tc>
        <w:tc>
          <w:tcPr>
            <w:tcW w:w="9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Balance Sheets as of September 30, 2023 and March 31, 2023</w:t>
            </w:r>
          </w:p>
        </w:tc>
        <w:tc>
          <w:tcPr>
            <w:tcW w:w="411" w:type="dxa"/>
            <w:tcBorders/>
            <w:shd w:fill="FFFFFF" w:val="clear"/>
            <w:vAlign w:val="center"/>
          </w:tcPr>
          <w:p>
            <w:pPr>
              <w:pStyle w:val="TableContents"/>
              <w:bidi w:val="0"/>
              <w:spacing w:before="0" w:after="283"/>
              <w:jc w:val="center"/>
              <w:rPr/>
            </w:pPr>
            <w:r>
              <w:rPr/>
              <w:t>1</w:t>
            </w:r>
          </w:p>
        </w:tc>
      </w:tr>
      <w:tr>
        <w:trPr/>
        <w:tc>
          <w:tcPr>
            <w:tcW w:w="664" w:type="dxa"/>
            <w:tcBorders/>
            <w:shd w:fill="CCEEFF" w:val="clear"/>
            <w:vAlign w:val="center"/>
          </w:tcPr>
          <w:p>
            <w:pPr>
              <w:pStyle w:val="TableContents"/>
              <w:bidi w:val="0"/>
              <w:spacing w:before="0" w:after="283"/>
              <w:jc w:val="left"/>
              <w:rPr/>
            </w:pPr>
            <w:r>
              <w:rPr/>
              <w:t> </w:t>
            </w:r>
          </w:p>
        </w:tc>
        <w:tc>
          <w:tcPr>
            <w:tcW w:w="9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Operations and Comprehensive Loss for the three and six months ended September 30, 2023 and 2022</w:t>
            </w:r>
          </w:p>
        </w:tc>
        <w:tc>
          <w:tcPr>
            <w:tcW w:w="411" w:type="dxa"/>
            <w:tcBorders/>
            <w:shd w:fill="CCEEFF" w:val="clear"/>
            <w:vAlign w:val="center"/>
          </w:tcPr>
          <w:p>
            <w:pPr>
              <w:pStyle w:val="TableContents"/>
              <w:bidi w:val="0"/>
              <w:spacing w:before="0" w:after="283"/>
              <w:jc w:val="center"/>
              <w:rPr/>
            </w:pPr>
            <w:r>
              <w:rPr/>
              <w:t>2</w:t>
            </w:r>
          </w:p>
        </w:tc>
      </w:tr>
      <w:tr>
        <w:trPr/>
        <w:tc>
          <w:tcPr>
            <w:tcW w:w="664" w:type="dxa"/>
            <w:tcBorders/>
            <w:shd w:fill="FFFFFF" w:val="clear"/>
            <w:vAlign w:val="center"/>
          </w:tcPr>
          <w:p>
            <w:pPr>
              <w:pStyle w:val="TableContents"/>
              <w:bidi w:val="0"/>
              <w:spacing w:before="0" w:after="283"/>
              <w:jc w:val="left"/>
              <w:rPr/>
            </w:pPr>
            <w:r>
              <w:rPr/>
              <w:t> </w:t>
            </w:r>
          </w:p>
        </w:tc>
        <w:tc>
          <w:tcPr>
            <w:tcW w:w="9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Cash Flows for the six months ended September 30, 2023 and 2022</w:t>
            </w:r>
          </w:p>
        </w:tc>
        <w:tc>
          <w:tcPr>
            <w:tcW w:w="411" w:type="dxa"/>
            <w:tcBorders/>
            <w:shd w:fill="FFFFFF" w:val="clear"/>
            <w:vAlign w:val="center"/>
          </w:tcPr>
          <w:p>
            <w:pPr>
              <w:pStyle w:val="TableContents"/>
              <w:bidi w:val="0"/>
              <w:spacing w:before="0" w:after="283"/>
              <w:jc w:val="center"/>
              <w:rPr/>
            </w:pPr>
            <w:r>
              <w:rPr/>
              <w:t>3</w:t>
            </w:r>
          </w:p>
        </w:tc>
      </w:tr>
      <w:tr>
        <w:trPr/>
        <w:tc>
          <w:tcPr>
            <w:tcW w:w="664" w:type="dxa"/>
            <w:tcBorders/>
            <w:shd w:fill="CCEEFF" w:val="clear"/>
            <w:vAlign w:val="center"/>
          </w:tcPr>
          <w:p>
            <w:pPr>
              <w:pStyle w:val="TableContents"/>
              <w:bidi w:val="0"/>
              <w:spacing w:before="0" w:after="283"/>
              <w:jc w:val="left"/>
              <w:rPr/>
            </w:pPr>
            <w:r>
              <w:rPr/>
              <w:t> </w:t>
            </w:r>
          </w:p>
        </w:tc>
        <w:tc>
          <w:tcPr>
            <w:tcW w:w="9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 of Changes in Stockholders’ Equity for the three and six months ended September 30, 2023 and 2022</w:t>
            </w:r>
          </w:p>
        </w:tc>
        <w:tc>
          <w:tcPr>
            <w:tcW w:w="411" w:type="dxa"/>
            <w:tcBorders/>
            <w:shd w:fill="CCEEFF" w:val="clear"/>
            <w:vAlign w:val="center"/>
          </w:tcPr>
          <w:p>
            <w:pPr>
              <w:pStyle w:val="TableContents"/>
              <w:bidi w:val="0"/>
              <w:spacing w:before="0" w:after="283"/>
              <w:jc w:val="center"/>
              <w:rPr/>
            </w:pPr>
            <w:r>
              <w:rPr/>
              <w:t>4</w:t>
            </w:r>
          </w:p>
        </w:tc>
      </w:tr>
      <w:tr>
        <w:trPr/>
        <w:tc>
          <w:tcPr>
            <w:tcW w:w="664" w:type="dxa"/>
            <w:tcBorders/>
            <w:shd w:fill="FFFFFF" w:val="clear"/>
            <w:vAlign w:val="center"/>
          </w:tcPr>
          <w:p>
            <w:pPr>
              <w:pStyle w:val="TableContents"/>
              <w:bidi w:val="0"/>
              <w:spacing w:before="0" w:after="283"/>
              <w:jc w:val="left"/>
              <w:rPr/>
            </w:pPr>
            <w:r>
              <w:rPr/>
              <w:t> </w:t>
            </w:r>
          </w:p>
        </w:tc>
        <w:tc>
          <w:tcPr>
            <w:tcW w:w="9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the Condensed Consolidated Financial Statements</w:t>
            </w:r>
          </w:p>
        </w:tc>
        <w:tc>
          <w:tcPr>
            <w:tcW w:w="411" w:type="dxa"/>
            <w:tcBorders/>
            <w:shd w:fill="FFFFFF" w:val="clear"/>
            <w:vAlign w:val="center"/>
          </w:tcPr>
          <w:p>
            <w:pPr>
              <w:pStyle w:val="TableContents"/>
              <w:bidi w:val="0"/>
              <w:spacing w:before="0" w:after="283"/>
              <w:jc w:val="center"/>
              <w:rPr/>
            </w:pPr>
            <w:r>
              <w:rPr/>
              <w:t>5</w:t>
            </w:r>
          </w:p>
        </w:tc>
      </w:tr>
      <w:tr>
        <w:trPr/>
        <w:tc>
          <w:tcPr>
            <w:tcW w:w="664" w:type="dxa"/>
            <w:tcBorders/>
            <w:shd w:fill="CCEEFF" w:val="clear"/>
            <w:vAlign w:val="center"/>
          </w:tcPr>
          <w:p>
            <w:pPr>
              <w:pStyle w:val="TableContents"/>
              <w:bidi w:val="0"/>
              <w:spacing w:before="0" w:after="283"/>
              <w:jc w:val="left"/>
              <w:rPr/>
            </w:pPr>
            <w:r>
              <w:rPr/>
              <w:t>Item 2.</w:t>
            </w:r>
          </w:p>
        </w:tc>
        <w:tc>
          <w:tcPr>
            <w:tcW w:w="9130" w:type="dxa"/>
            <w:tcBorders/>
            <w:shd w:fill="CCEEFF" w:val="clear"/>
            <w:vAlign w:val="center"/>
          </w:tcPr>
          <w:p>
            <w:pPr>
              <w:pStyle w:val="TableContents"/>
              <w:bidi w:val="0"/>
              <w:spacing w:before="0" w:after="283"/>
              <w:jc w:val="left"/>
              <w:rPr/>
            </w:pPr>
            <w:r>
              <w:rPr/>
              <w:t>Management’s Discussion and Analysis of Financial Condition and Results of Operations</w:t>
            </w:r>
          </w:p>
        </w:tc>
        <w:tc>
          <w:tcPr>
            <w:tcW w:w="411" w:type="dxa"/>
            <w:tcBorders/>
            <w:shd w:fill="CCEEFF" w:val="clear"/>
            <w:vAlign w:val="center"/>
          </w:tcPr>
          <w:p>
            <w:pPr>
              <w:pStyle w:val="TableContents"/>
              <w:bidi w:val="0"/>
              <w:spacing w:before="0" w:after="283"/>
              <w:jc w:val="center"/>
              <w:rPr/>
            </w:pPr>
            <w:r>
              <w:rPr/>
              <w:t>11</w:t>
            </w:r>
          </w:p>
        </w:tc>
      </w:tr>
      <w:tr>
        <w:trPr/>
        <w:tc>
          <w:tcPr>
            <w:tcW w:w="664" w:type="dxa"/>
            <w:tcBorders/>
            <w:shd w:fill="FFFFFF" w:val="clear"/>
            <w:vAlign w:val="center"/>
          </w:tcPr>
          <w:p>
            <w:pPr>
              <w:pStyle w:val="TableContents"/>
              <w:bidi w:val="0"/>
              <w:spacing w:before="0" w:after="283"/>
              <w:jc w:val="left"/>
              <w:rPr/>
            </w:pPr>
            <w:r>
              <w:rPr/>
              <w:t>Item 4.</w:t>
            </w:r>
          </w:p>
        </w:tc>
        <w:tc>
          <w:tcPr>
            <w:tcW w:w="9130" w:type="dxa"/>
            <w:tcBorders/>
            <w:shd w:fill="FFFFFF" w:val="clear"/>
            <w:vAlign w:val="center"/>
          </w:tcPr>
          <w:p>
            <w:pPr>
              <w:pStyle w:val="TableContents"/>
              <w:bidi w:val="0"/>
              <w:spacing w:before="0" w:after="283"/>
              <w:jc w:val="left"/>
              <w:rPr/>
            </w:pPr>
            <w:r>
              <w:rPr/>
              <w:t>Controls and Procedures</w:t>
            </w:r>
          </w:p>
        </w:tc>
        <w:tc>
          <w:tcPr>
            <w:tcW w:w="411" w:type="dxa"/>
            <w:tcBorders/>
            <w:shd w:fill="FFFFFF" w:val="clear"/>
            <w:vAlign w:val="center"/>
          </w:tcPr>
          <w:p>
            <w:pPr>
              <w:pStyle w:val="TableContents"/>
              <w:bidi w:val="0"/>
              <w:spacing w:before="0" w:after="283"/>
              <w:jc w:val="center"/>
              <w:rPr/>
            </w:pPr>
            <w:r>
              <w:rPr/>
              <w:t>19</w:t>
            </w:r>
          </w:p>
        </w:tc>
      </w:tr>
      <w:tr>
        <w:trPr/>
        <w:tc>
          <w:tcPr>
            <w:tcW w:w="979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11" w:type="dxa"/>
            <w:tcBorders/>
            <w:shd w:fill="CCEEFF" w:val="clear"/>
            <w:vAlign w:val="center"/>
          </w:tcPr>
          <w:p>
            <w:pPr>
              <w:pStyle w:val="TableContents"/>
              <w:bidi w:val="0"/>
              <w:spacing w:before="0" w:after="283"/>
              <w:jc w:val="center"/>
              <w:rPr/>
            </w:pPr>
            <w:r>
              <w:rPr/>
              <w:t> </w:t>
            </w:r>
          </w:p>
        </w:tc>
      </w:tr>
      <w:tr>
        <w:trPr/>
        <w:tc>
          <w:tcPr>
            <w:tcW w:w="9794" w:type="dxa"/>
            <w:gridSpan w:val="2"/>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OTHER INFORMATION</w:t>
            </w:r>
          </w:p>
        </w:tc>
        <w:tc>
          <w:tcPr>
            <w:tcW w:w="411" w:type="dxa"/>
            <w:tcBorders/>
            <w:shd w:fill="FFFFFF" w:val="clear"/>
            <w:vAlign w:val="center"/>
          </w:tcPr>
          <w:p>
            <w:pPr>
              <w:pStyle w:val="TableContents"/>
              <w:bidi w:val="0"/>
              <w:spacing w:before="0" w:after="283"/>
              <w:jc w:val="center"/>
              <w:rPr/>
            </w:pPr>
            <w:r>
              <w:rPr/>
              <w:t> </w:t>
            </w:r>
          </w:p>
        </w:tc>
      </w:tr>
      <w:tr>
        <w:trPr/>
        <w:tc>
          <w:tcPr>
            <w:tcW w:w="664" w:type="dxa"/>
            <w:tcBorders/>
            <w:shd w:fill="CCEEFF" w:val="clear"/>
            <w:vAlign w:val="center"/>
          </w:tcPr>
          <w:p>
            <w:pPr>
              <w:pStyle w:val="TableContents"/>
              <w:bidi w:val="0"/>
              <w:spacing w:before="0" w:after="283"/>
              <w:jc w:val="left"/>
              <w:rPr/>
            </w:pPr>
            <w:r>
              <w:rPr/>
              <w:t> </w:t>
            </w:r>
          </w:p>
        </w:tc>
        <w:tc>
          <w:tcPr>
            <w:tcW w:w="913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11" w:type="dxa"/>
            <w:tcBorders/>
            <w:shd w:fill="CCEEFF" w:val="clear"/>
            <w:vAlign w:val="center"/>
          </w:tcPr>
          <w:p>
            <w:pPr>
              <w:pStyle w:val="TableContents"/>
              <w:bidi w:val="0"/>
              <w:spacing w:before="0" w:after="283"/>
              <w:jc w:val="center"/>
              <w:rPr/>
            </w:pPr>
            <w:r>
              <w:rPr/>
              <w:t> </w:t>
            </w:r>
          </w:p>
        </w:tc>
      </w:tr>
      <w:tr>
        <w:trPr/>
        <w:tc>
          <w:tcPr>
            <w:tcW w:w="9794"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 Legal Proceedings</w:t>
            </w:r>
          </w:p>
        </w:tc>
        <w:tc>
          <w:tcPr>
            <w:tcW w:w="411" w:type="dxa"/>
            <w:tcBorders/>
            <w:shd w:fill="FFFFFF" w:val="clear"/>
            <w:vAlign w:val="center"/>
          </w:tcPr>
          <w:p>
            <w:pPr>
              <w:pStyle w:val="TableContents"/>
              <w:bidi w:val="0"/>
              <w:spacing w:before="0" w:after="283"/>
              <w:jc w:val="center"/>
              <w:rPr/>
            </w:pPr>
            <w:r>
              <w:rPr/>
              <w:t>20</w:t>
            </w:r>
          </w:p>
        </w:tc>
      </w:tr>
      <w:tr>
        <w:trPr/>
        <w:tc>
          <w:tcPr>
            <w:tcW w:w="9794"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 Risk Factors</w:t>
            </w:r>
          </w:p>
        </w:tc>
        <w:tc>
          <w:tcPr>
            <w:tcW w:w="411" w:type="dxa"/>
            <w:tcBorders/>
            <w:shd w:fill="CCEEFF" w:val="clear"/>
            <w:vAlign w:val="center"/>
          </w:tcPr>
          <w:p>
            <w:pPr>
              <w:pStyle w:val="TableContents"/>
              <w:bidi w:val="0"/>
              <w:spacing w:before="0" w:after="283"/>
              <w:jc w:val="center"/>
              <w:rPr/>
            </w:pPr>
            <w:r>
              <w:rPr/>
              <w:t>20</w:t>
            </w:r>
          </w:p>
        </w:tc>
      </w:tr>
      <w:tr>
        <w:trPr/>
        <w:tc>
          <w:tcPr>
            <w:tcW w:w="9794"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 Unregistered Sales of Equity Securities and Use of Proceeds</w:t>
            </w:r>
          </w:p>
        </w:tc>
        <w:tc>
          <w:tcPr>
            <w:tcW w:w="411" w:type="dxa"/>
            <w:tcBorders/>
            <w:shd w:fill="FFFFFF" w:val="clear"/>
            <w:vAlign w:val="center"/>
          </w:tcPr>
          <w:p>
            <w:pPr>
              <w:pStyle w:val="TableContents"/>
              <w:bidi w:val="0"/>
              <w:spacing w:before="0" w:after="283"/>
              <w:jc w:val="center"/>
              <w:rPr/>
            </w:pPr>
            <w:r>
              <w:rPr/>
              <w:t>52</w:t>
            </w:r>
          </w:p>
        </w:tc>
      </w:tr>
      <w:tr>
        <w:trPr/>
        <w:tc>
          <w:tcPr>
            <w:tcW w:w="9794"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 Defaults Upon Senior Secured Securities</w:t>
            </w:r>
          </w:p>
        </w:tc>
        <w:tc>
          <w:tcPr>
            <w:tcW w:w="411" w:type="dxa"/>
            <w:tcBorders/>
            <w:shd w:fill="CCEEFF" w:val="clear"/>
            <w:vAlign w:val="center"/>
          </w:tcPr>
          <w:p>
            <w:pPr>
              <w:pStyle w:val="TableContents"/>
              <w:bidi w:val="0"/>
              <w:spacing w:before="0" w:after="283"/>
              <w:jc w:val="center"/>
              <w:rPr/>
            </w:pPr>
            <w:r>
              <w:rPr/>
              <w:t>52</w:t>
            </w:r>
          </w:p>
        </w:tc>
      </w:tr>
      <w:tr>
        <w:trPr/>
        <w:tc>
          <w:tcPr>
            <w:tcW w:w="9794" w:type="dxa"/>
            <w:gridSpan w:val="2"/>
            <w:tcBorders/>
            <w:shd w:fill="FFFFFF" w:val="clear"/>
            <w:vAlign w:val="center"/>
          </w:tcPr>
          <w:p>
            <w:pPr>
              <w:pStyle w:val="TableContents"/>
              <w:bidi w:val="0"/>
              <w:spacing w:before="0" w:after="283"/>
              <w:jc w:val="left"/>
              <w:rPr/>
            </w:pPr>
            <w:r>
              <w:rPr/>
              <w:t>Item 5. Other Information</w:t>
            </w:r>
          </w:p>
        </w:tc>
        <w:tc>
          <w:tcPr>
            <w:tcW w:w="411" w:type="dxa"/>
            <w:tcBorders/>
            <w:shd w:fill="FFFFFF" w:val="clear"/>
            <w:vAlign w:val="center"/>
          </w:tcPr>
          <w:p>
            <w:pPr>
              <w:pStyle w:val="TableContents"/>
              <w:bidi w:val="0"/>
              <w:spacing w:before="0" w:after="283"/>
              <w:jc w:val="center"/>
              <w:rPr/>
            </w:pPr>
            <w:r>
              <w:rPr/>
              <w:t>52</w:t>
            </w:r>
          </w:p>
        </w:tc>
      </w:tr>
      <w:tr>
        <w:trPr/>
        <w:tc>
          <w:tcPr>
            <w:tcW w:w="9794"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 Exhibits</w:t>
            </w:r>
          </w:p>
        </w:tc>
        <w:tc>
          <w:tcPr>
            <w:tcW w:w="411" w:type="dxa"/>
            <w:tcBorders/>
            <w:shd w:fill="CCEEFF" w:val="clear"/>
            <w:vAlign w:val="center"/>
          </w:tcPr>
          <w:p>
            <w:pPr>
              <w:pStyle w:val="TableContents"/>
              <w:bidi w:val="0"/>
              <w:spacing w:before="0" w:after="283"/>
              <w:jc w:val="center"/>
              <w:rPr/>
            </w:pPr>
            <w:r>
              <w:rPr/>
              <w:t>52</w:t>
            </w:r>
          </w:p>
        </w:tc>
      </w:tr>
      <w:tr>
        <w:trPr/>
        <w:tc>
          <w:tcPr>
            <w:tcW w:w="664" w:type="dxa"/>
            <w:tcBorders/>
            <w:shd w:fill="FFFFFF" w:val="clear"/>
            <w:vAlign w:val="center"/>
          </w:tcPr>
          <w:p>
            <w:pPr>
              <w:pStyle w:val="TableContents"/>
              <w:bidi w:val="0"/>
              <w:spacing w:before="0" w:after="283"/>
              <w:jc w:val="left"/>
              <w:rPr/>
            </w:pPr>
            <w:r>
              <w:rPr/>
              <w:t> </w:t>
            </w:r>
          </w:p>
        </w:tc>
        <w:tc>
          <w:tcPr>
            <w:tcW w:w="913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9794"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SIGNATURES</w:t>
            </w:r>
          </w:p>
        </w:tc>
        <w:tc>
          <w:tcPr>
            <w:tcW w:w="411" w:type="dxa"/>
            <w:tcBorders/>
            <w:shd w:fill="CCEEFF" w:val="clear"/>
            <w:vAlign w:val="center"/>
          </w:tcPr>
          <w:p>
            <w:pPr>
              <w:pStyle w:val="TableContents"/>
              <w:bidi w:val="0"/>
              <w:spacing w:before="0" w:after="283"/>
              <w:jc w:val="center"/>
              <w:rPr/>
            </w:pPr>
            <w:r>
              <w:rPr/>
              <w:t>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Dollars,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5"/>
        <w:gridCol w:w="60"/>
        <w:gridCol w:w="125"/>
        <w:gridCol w:w="1115"/>
        <w:gridCol w:w="80"/>
        <w:gridCol w:w="60"/>
        <w:gridCol w:w="125"/>
        <w:gridCol w:w="1115"/>
        <w:gridCol w:w="80"/>
      </w:tblGrid>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tc>
        <w:tc>
          <w:tcPr>
            <w:tcW w:w="8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0125" w:type="dxa"/>
            <w:gridSpan w:val="8"/>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ASSETS</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37,608,400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16,637,600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1,393,300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802,700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contract acquisition costs -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39,076,200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17,507,400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507,300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 - operating lease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2,260,300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offering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495,700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contract acquisition costs - non-current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217,600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deposits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42,195,800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21,089,200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0125" w:type="dxa"/>
            <w:gridSpan w:val="8"/>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LIABILITIES AND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2,473,100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787,400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714,300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obligation -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485,600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Financing lease obligation -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4,567,400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 non-current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2,314,600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obligation - non-current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2,119,800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Financing lease obligation - non-current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3,641,100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4,441,800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9,009,200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$0.001 par value; 10,000,000 shares authorized at September 30, 2023 and March 31, 2023; no shares outstanding at September 30, 2023 and March 31, 2023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$0.001 par value; 325,000,000 shares authorized at September 30, 2023 and March 31, 2023; 12,016,750 and 7,315,583 shares issued at September 30, 2023 and March 31, 2023,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379,943,800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342,892,500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Treasury stock, at cost, 4,522 shares of common stock held at September 30, 2023 and March 31,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(3,968,100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(3,968,100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(340,342,500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(326,851,700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4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35,645,200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12,080,000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42,195,800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21,089,200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See accompanying notes to Condensed Consolidated Financial Statements, including Note 5, </w:t>
      </w:r>
      <w:r>
        <w:rPr>
          <w:rFonts w:ascii="Times New Roman" w:hAnsi="Times New Roman"/>
          <w:i/>
          <w:caps w:val="false"/>
          <w:smallCaps w:val="false"/>
          <w:sz w:val="20"/>
        </w:rPr>
        <w:t>Capital Stock</w:t>
      </w:r>
      <w:r>
        <w:rPr>
          <w:rFonts w:ascii="Times New Roman" w:hAnsi="Times New Roman"/>
          <w:caps w:val="false"/>
          <w:smallCaps w:val="false"/>
          <w:sz w:val="20"/>
        </w:rPr>
        <w:t>, for information on reverse split of common stock effective on June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Dollars, except share amounts)</w:t>
      </w:r>
    </w:p>
    <w:p>
      <w:pPr>
        <w:pStyle w:val="TextBody"/>
        <w:bidi w:val="0"/>
        <w:spacing w:before="0" w:after="0"/>
        <w:ind w:left="0" w:right="0" w:hanging="0"/>
        <w:jc w:val="left"/>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4250"/>
        <w:gridCol w:w="60"/>
        <w:gridCol w:w="125"/>
        <w:gridCol w:w="950"/>
        <w:gridCol w:w="80"/>
        <w:gridCol w:w="60"/>
        <w:gridCol w:w="125"/>
        <w:gridCol w:w="1010"/>
        <w:gridCol w:w="80"/>
        <w:gridCol w:w="60"/>
        <w:gridCol w:w="125"/>
        <w:gridCol w:w="1010"/>
        <w:gridCol w:w="80"/>
        <w:gridCol w:w="60"/>
        <w:gridCol w:w="125"/>
        <w:gridCol w:w="1010"/>
        <w:gridCol w:w="80"/>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50"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w:t>
            </w:r>
          </w:p>
        </w:tc>
        <w:tc>
          <w:tcPr>
            <w:tcW w:w="8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Sublicense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(892,500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(582,500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12,894,500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8,047,800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28,185,800</w:t>
            </w:r>
          </w:p>
        </w:tc>
        <w:tc>
          <w:tcPr>
            <w:tcW w:w="8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3,207,300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6,185,500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8,494,100</w:t>
            </w:r>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7,057,900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16,596,800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14,233,300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36,679,900</w:t>
            </w:r>
          </w:p>
        </w:tc>
        <w:tc>
          <w:tcPr>
            <w:tcW w:w="8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(6,780,200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(17,489,300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(13,778,000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(37,262,400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w:t>
            </w:r>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(6,587,700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(17,483,200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(13,488,300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(37,254,000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and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(6,587,700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(17,483,200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(13,490,800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(37,259,500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 net loss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common share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10,042,530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6,893,708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8,717,050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6,890,152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See accompanying notes to Condensed Consolidated Financial Statements, including Note 5, </w:t>
      </w:r>
      <w:r>
        <w:rPr>
          <w:rFonts w:ascii="Times New Roman" w:hAnsi="Times New Roman"/>
          <w:i/>
          <w:caps w:val="false"/>
          <w:smallCaps w:val="false"/>
          <w:sz w:val="20"/>
        </w:rPr>
        <w:t>Capital Stock</w:t>
      </w:r>
      <w:r>
        <w:rPr>
          <w:rFonts w:ascii="Times New Roman" w:hAnsi="Times New Roman"/>
          <w:caps w:val="false"/>
          <w:smallCaps w:val="false"/>
          <w:sz w:val="20"/>
        </w:rPr>
        <w:t>, for information on reverse split of common stock effective on June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7"/>
        <w:gridCol w:w="60"/>
        <w:gridCol w:w="141"/>
        <w:gridCol w:w="1143"/>
        <w:gridCol w:w="90"/>
        <w:gridCol w:w="67"/>
        <w:gridCol w:w="141"/>
        <w:gridCol w:w="1143"/>
        <w:gridCol w:w="83"/>
      </w:tblGrid>
      <w:tr>
        <w:trPr/>
        <w:tc>
          <w:tcPr>
            <w:tcW w:w="7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September 30, </w:t>
            </w:r>
          </w:p>
        </w:tc>
        <w:tc>
          <w:tcPr>
            <w:tcW w:w="83" w:type="dxa"/>
            <w:tcBorders/>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(13,490,800</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(37,259,500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63,000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65,600</w:t>
            </w:r>
          </w:p>
        </w:tc>
        <w:tc>
          <w:tcPr>
            <w:tcW w:w="83" w:type="dxa"/>
            <w:tcBorders/>
            <w:shd w:fill="FFFFFF" w:val="clear"/>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1,152,800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1,988,600</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Amortization of operating lease right-of-use asset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215,300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196,300</w:t>
            </w:r>
          </w:p>
        </w:tc>
        <w:tc>
          <w:tcPr>
            <w:tcW w:w="83" w:type="dxa"/>
            <w:tcBorders/>
            <w:shd w:fill="FFFFFF" w:val="clear"/>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288,900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2,431,400</w:t>
            </w:r>
          </w:p>
        </w:tc>
        <w:tc>
          <w:tcPr>
            <w:tcW w:w="83" w:type="dxa"/>
            <w:tcBorders/>
            <w:shd w:fill="FFFFFF" w:val="clear"/>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(234,300</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(212,000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Deferred sublicense revenue, net of deferred contract acquisition costs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(412,500</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527,700</w:t>
            </w:r>
          </w:p>
        </w:tc>
        <w:tc>
          <w:tcPr>
            <w:tcW w:w="83" w:type="dxa"/>
            <w:tcBorders/>
            <w:shd w:fill="FFFFFF" w:val="clear"/>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(1,662,900</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(14,080,500</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(32,309,100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Purchases of laboratory and other equipment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(199,500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(199,500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proceeds from issuance of common stock, including option exercises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104,400</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proceeds (expenses) from sale of common stock under At the Market (ATM) facility, net of deferred offering costs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36,032,600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(89,600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proceeds from sale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56,100</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financing lease obligations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note payable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(984,700</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(409,700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35,051,300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(339,500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20,970,800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(32,848,100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16,637,600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68,135,800</w:t>
            </w:r>
          </w:p>
        </w:tc>
        <w:tc>
          <w:tcPr>
            <w:tcW w:w="83" w:type="dxa"/>
            <w:tcBorders/>
            <w:shd w:fill="FFFFFF" w:val="clear"/>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37,608,400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35,287,700</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3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Insurance premiums settled by issuing note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879,500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1,139,700</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See accompanying notes to Condensed Consolidated Financial Statements, including Note 5, </w:t>
      </w:r>
      <w:r>
        <w:rPr>
          <w:rFonts w:ascii="Times New Roman" w:hAnsi="Times New Roman"/>
          <w:i/>
          <w:caps w:val="false"/>
          <w:smallCaps w:val="false"/>
          <w:sz w:val="20"/>
        </w:rPr>
        <w:t>Capital Stock</w:t>
      </w:r>
      <w:r>
        <w:rPr>
          <w:rFonts w:ascii="Times New Roman" w:hAnsi="Times New Roman"/>
          <w:caps w:val="false"/>
          <w:smallCaps w:val="false"/>
          <w:sz w:val="20"/>
        </w:rPr>
        <w:t>, for information on reverse split of common stock effective on June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Dollars,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7"/>
        <w:gridCol w:w="60"/>
        <w:gridCol w:w="60"/>
        <w:gridCol w:w="950"/>
        <w:gridCol w:w="60"/>
        <w:gridCol w:w="60"/>
        <w:gridCol w:w="126"/>
        <w:gridCol w:w="598"/>
        <w:gridCol w:w="60"/>
        <w:gridCol w:w="60"/>
        <w:gridCol w:w="125"/>
        <w:gridCol w:w="1055"/>
        <w:gridCol w:w="60"/>
        <w:gridCol w:w="60"/>
        <w:gridCol w:w="125"/>
        <w:gridCol w:w="905"/>
        <w:gridCol w:w="80"/>
        <w:gridCol w:w="60"/>
        <w:gridCol w:w="125"/>
        <w:gridCol w:w="1115"/>
        <w:gridCol w:w="80"/>
        <w:gridCol w:w="60"/>
        <w:gridCol w:w="126"/>
        <w:gridCol w:w="1025"/>
        <w:gridCol w:w="83"/>
      </w:tblGrid>
      <w:tr>
        <w:trPr/>
        <w:tc>
          <w:tcPr>
            <w:tcW w:w="3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3" w:type="dxa"/>
            <w:tcBorders/>
            <w:vAlign w:val="center"/>
          </w:tcPr>
          <w:p>
            <w:pPr>
              <w:pStyle w:val="TableContents"/>
              <w:bidi w:val="0"/>
              <w:spacing w:before="0" w:after="283"/>
              <w:jc w:val="left"/>
              <w:rPr/>
            </w:pPr>
            <w:r>
              <w:rPr/>
              <w:t> </w:t>
            </w:r>
          </w:p>
        </w:tc>
      </w:tr>
      <w:tr>
        <w:trPr/>
        <w:tc>
          <w:tcPr>
            <w:tcW w:w="3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Treasury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Stockholders’</w:t>
            </w:r>
          </w:p>
        </w:tc>
        <w:tc>
          <w:tcPr>
            <w:tcW w:w="83" w:type="dxa"/>
            <w:tcBorders/>
            <w:vAlign w:val="center"/>
          </w:tcPr>
          <w:p>
            <w:pPr>
              <w:pStyle w:val="TableContents"/>
              <w:bidi w:val="0"/>
              <w:spacing w:before="0" w:after="283"/>
              <w:jc w:val="left"/>
              <w:rPr/>
            </w:pPr>
            <w:r>
              <w:rPr/>
              <w:t> </w:t>
            </w:r>
          </w:p>
        </w:tc>
      </w:tr>
      <w:tr>
        <w:trPr/>
        <w:tc>
          <w:tcPr>
            <w:tcW w:w="3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Capital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Equity </w:t>
            </w:r>
          </w:p>
        </w:tc>
        <w:tc>
          <w:tcPr>
            <w:tcW w:w="83" w:type="dxa"/>
            <w:tcBorders/>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Balances at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6,889,400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336,280,500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(3,968,100</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(267,604,000</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02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64,715,300</w:t>
            </w:r>
          </w:p>
        </w:tc>
        <w:tc>
          <w:tcPr>
            <w:tcW w:w="83" w:type="dxa"/>
            <w:tcBorders/>
            <w:shd w:fill="CCEEFF" w:val="cle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956,900</w:t>
            </w:r>
          </w:p>
        </w:tc>
        <w:tc>
          <w:tcPr>
            <w:tcW w:w="83" w:type="dxa"/>
            <w:tcBorders/>
            <w:shd w:fill="CCEEFF" w:val="cle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Sale of common stock pursuant to 2019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56,100</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upon exercise of options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100,000</w:t>
            </w:r>
          </w:p>
        </w:tc>
        <w:tc>
          <w:tcPr>
            <w:tcW w:w="83" w:type="dxa"/>
            <w:tcBorders/>
            <w:shd w:fill="CCEEFF" w:val="cle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for quarter ended June 30,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(19,776,300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(19,776,300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Balances at June 30,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6,895,233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337,393,500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(3,968,100</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(287,380,300</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46,052,000</w:t>
            </w:r>
          </w:p>
        </w:tc>
        <w:tc>
          <w:tcPr>
            <w:tcW w:w="83" w:type="dxa"/>
            <w:tcBorders/>
            <w:shd w:fill="CCEEFF" w:val="cle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1,031,800</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upon exercise of options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4,400</w:t>
            </w:r>
          </w:p>
        </w:tc>
        <w:tc>
          <w:tcPr>
            <w:tcW w:w="83" w:type="dxa"/>
            <w:tcBorders/>
            <w:shd w:fill="CCEEFF" w:val="cle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upon exercise of options (cashless)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for quarter ended September 30,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(17,483,200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(17,483,200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Balances at September 30,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6,899,246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338,429,700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(3,968,100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(304,863,500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29,605,000</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Balances at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7,315,583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342,892,500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(3,968,100</w:t>
            </w:r>
          </w:p>
        </w:tc>
        <w:tc>
          <w:tcPr>
            <w:tcW w:w="8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(326,851,700</w:t>
            </w:r>
          </w:p>
        </w:tc>
        <w:tc>
          <w:tcPr>
            <w:tcW w:w="8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02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12,080,000</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283"/>
              <w:ind w:left="0" w:right="0" w:hanging="0"/>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569,100</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Sale of common stock pursuant to 2019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4,200</w:t>
            </w:r>
          </w:p>
        </w:tc>
        <w:tc>
          <w:tcPr>
            <w:tcW w:w="83" w:type="dxa"/>
            <w:tcBorders/>
            <w:shd w:fill="CCEEFF" w:val="cle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upon ATM sales,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1,098,800</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for quarter ended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(6,903,100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(6,903,100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Balances at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7,879,673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344,564,000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(3,968,100</w:t>
            </w:r>
          </w:p>
        </w:tc>
        <w:tc>
          <w:tcPr>
            <w:tcW w:w="8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(333,754,800</w:t>
            </w:r>
          </w:p>
        </w:tc>
        <w:tc>
          <w:tcPr>
            <w:tcW w:w="8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6,849,000</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583,700</w:t>
            </w:r>
          </w:p>
        </w:tc>
        <w:tc>
          <w:tcPr>
            <w:tcW w:w="83" w:type="dxa"/>
            <w:tcBorders/>
            <w:shd w:fill="CCEEFF" w:val="cle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upon ATM sales,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4,137,077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34,796,100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34,800,200</w:t>
            </w:r>
          </w:p>
        </w:tc>
        <w:tc>
          <w:tcPr>
            <w:tcW w:w="83" w:type="dxa"/>
            <w:tcBorders/>
            <w:shd w:fill="FFFFFF" w:val="clear"/>
            <w:vAlign w:val="center"/>
          </w:tcPr>
          <w:p>
            <w:pPr>
              <w:pStyle w:val="TableContents"/>
              <w:bidi w:val="0"/>
              <w:spacing w:before="0" w:after="283"/>
              <w:jc w:val="left"/>
              <w:rPr/>
            </w:pPr>
            <w:r>
              <w:rPr/>
              <w:t> </w:t>
            </w:r>
          </w:p>
        </w:tc>
      </w:tr>
      <w:tr>
        <w:trPr/>
        <w:tc>
          <w:tcPr>
            <w:tcW w:w="308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for quarter ended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(6,587,700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(6,587,700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7"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Balances at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12,016,750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379,943,800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(3,968,100</w:t>
            </w:r>
          </w:p>
        </w:tc>
        <w:tc>
          <w:tcPr>
            <w:tcW w:w="8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(340,342,500</w:t>
            </w:r>
          </w:p>
        </w:tc>
        <w:tc>
          <w:tcPr>
            <w:tcW w:w="8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35,645,200</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See accompanying notes to Condensed Consolidated Financial Statements, including Note 5, </w:t>
      </w:r>
      <w:r>
        <w:rPr>
          <w:rFonts w:ascii="Times New Roman" w:hAnsi="Times New Roman"/>
          <w:i/>
          <w:caps w:val="false"/>
          <w:smallCaps w:val="false"/>
          <w:sz w:val="20"/>
        </w:rPr>
        <w:t>Capital Stock</w:t>
      </w:r>
      <w:r>
        <w:rPr>
          <w:rFonts w:ascii="Times New Roman" w:hAnsi="Times New Roman"/>
          <w:caps w:val="false"/>
          <w:smallCaps w:val="false"/>
          <w:sz w:val="20"/>
        </w:rPr>
        <w:t>, for information on reverse split of common stock effective on June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 xml:space="preserve">Description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Vistagen Therapeutics, Inc., a Nevada corporation (</w:t>
      </w:r>
      <w:r>
        <w:rPr>
          <w:rFonts w:ascii="Times New Roman" w:hAnsi="Times New Roman"/>
          <w:i/>
          <w:caps w:val="false"/>
          <w:smallCaps w:val="false"/>
          <w:sz w:val="20"/>
        </w:rPr>
        <w:t>Vistagen</w:t>
      </w:r>
      <w:r>
        <w:rPr>
          <w:rFonts w:ascii="Times New Roman" w:hAnsi="Times New Roman"/>
          <w:caps w:val="false"/>
          <w:smallCaps w:val="false"/>
          <w:sz w:val="20"/>
        </w:rPr>
        <w:t>,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or </w:t>
      </w:r>
      <w:r>
        <w:rPr>
          <w:rFonts w:ascii="Times New Roman" w:hAnsi="Times New Roman"/>
          <w:i/>
          <w:caps w:val="false"/>
          <w:smallCaps w:val="false"/>
          <w:sz w:val="20"/>
        </w:rPr>
        <w:t>us</w:t>
      </w:r>
      <w:r>
        <w:rPr>
          <w:rFonts w:ascii="Times New Roman" w:hAnsi="Times New Roman"/>
          <w:caps w:val="false"/>
          <w:smallCaps w:val="false"/>
          <w:sz w:val="20"/>
        </w:rPr>
        <w:t>), is a clinical-stage biopharmaceutical company aiming to transform the treatment landscape for individuals living with anxiety, depression and other central nervous system (</w:t>
      </w:r>
      <w:r>
        <w:rPr>
          <w:rFonts w:ascii="Times New Roman" w:hAnsi="Times New Roman"/>
          <w:i/>
          <w:caps w:val="false"/>
          <w:smallCaps w:val="false"/>
          <w:sz w:val="20"/>
        </w:rPr>
        <w:t>CNS</w:t>
      </w:r>
      <w:r>
        <w:rPr>
          <w:rFonts w:ascii="Times New Roman" w:hAnsi="Times New Roman"/>
          <w:caps w:val="false"/>
          <w:smallCaps w:val="false"/>
          <w:sz w:val="20"/>
        </w:rPr>
        <w:t xml:space="preserve">) disorders. We are advancing therapeutics with the potential to be faster-acting and with fewer side effects and safety concerns than those currently available. Our pipeline includes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product candidates with clinical-stage experience, including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investigational agents belonging to a new class of drugs known as pherines, in addition to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an oral prodrug candidate of </w:t>
      </w:r>
      <w:r>
        <w:rPr>
          <w:rStyle w:val="Emphasis"/>
          <w:rFonts w:ascii="Times New Roman" w:hAnsi="Times New Roman"/>
          <w:caps w:val="false"/>
          <w:smallCaps w:val="false"/>
          <w:sz w:val="20"/>
        </w:rPr>
        <w:t>7</w:t>
      </w:r>
      <w:r>
        <w:rPr>
          <w:rFonts w:ascii="Times New Roman" w:hAnsi="Times New Roman"/>
          <w:caps w:val="false"/>
          <w:smallCaps w:val="false"/>
          <w:sz w:val="20"/>
        </w:rPr>
        <w:t>-chloro-kynurenic acid (</w:t>
      </w:r>
      <w:r>
        <w:rPr>
          <w:rStyle w:val="Emphasis"/>
          <w:rFonts w:ascii="Times New Roman" w:hAnsi="Times New Roman"/>
          <w:caps w:val="false"/>
          <w:smallCaps w:val="false"/>
          <w:sz w:val="20"/>
        </w:rPr>
        <w:t>7</w:t>
      </w:r>
      <w:r>
        <w:rPr>
          <w:rFonts w:ascii="Times New Roman" w:hAnsi="Times New Roman"/>
          <w:caps w:val="false"/>
          <w:smallCaps w:val="false"/>
          <w:sz w:val="20"/>
        </w:rPr>
        <w:t>-CI-KYNA), which is a potent and selective full antagonist (i.e., inhibitor) of the glycine coagonist site of the N-methyl-D-aspartate receptor (</w:t>
      </w:r>
      <w:r>
        <w:rPr>
          <w:rFonts w:ascii="Times New Roman" w:hAnsi="Times New Roman"/>
          <w:i/>
          <w:caps w:val="false"/>
          <w:smallCaps w:val="false"/>
          <w:sz w:val="20"/>
        </w:rPr>
        <w:t>NMDAR</w:t>
      </w:r>
      <w:r>
        <w:rPr>
          <w:rFonts w:ascii="Times New Roman" w:hAnsi="Times New Roman"/>
          <w:caps w:val="false"/>
          <w:smallCaps w:val="false"/>
          <w:sz w:val="20"/>
        </w:rPr>
        <w:t>). Pherines are neuroactive nasal sprays with an innovative mechanism of action (</w:t>
      </w:r>
      <w:r>
        <w:rPr>
          <w:rFonts w:ascii="Times New Roman" w:hAnsi="Times New Roman"/>
          <w:i/>
          <w:caps w:val="false"/>
          <w:smallCaps w:val="false"/>
          <w:sz w:val="20"/>
        </w:rPr>
        <w:t>MOA</w:t>
      </w:r>
      <w:r>
        <w:rPr>
          <w:rFonts w:ascii="Times New Roman" w:hAnsi="Times New Roman"/>
          <w:caps w:val="false"/>
          <w:smallCaps w:val="false"/>
          <w:sz w:val="20"/>
        </w:rPr>
        <w:t>). They activate chemosensory neurons in the nasal cavity which selectively modulate key neural circuits in the brain without requiring systemic absorption or direct activity on neurons in the brain. AV-</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inhibits the activity of the ion channel of the NMDAR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block it, unlike approved ion channel-blocking NMDAR antagonists which have significant side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Vistagen’s goal is to develop and commercialize, on our own and with strategic partners, a broad range of innovative therapies for neuropsychiatric, neurological and neuroendocrine disorders where current treatment options are inadequate to meet the medical needs of and improve the lives of millions of individuals affected by CNS disorders in numerous pharmaceutical markets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 xml:space="preserve">October 2023 </w:t>
      </w:r>
      <w:r>
        <w:rPr>
          <w:rFonts w:ascii="Times New Roman" w:hAnsi="Times New Roman"/>
          <w:i/>
          <w:caps w:val="false"/>
          <w:smallCaps w:val="false"/>
          <w:sz w:val="20"/>
        </w:rPr>
        <w:t>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 xml:space="preserve">we entered into an underwriting agreement (the </w:t>
      </w:r>
      <w:r>
        <w:rPr>
          <w:rFonts w:ascii="Times New Roman" w:hAnsi="Times New Roman"/>
          <w:i/>
          <w:caps w:val="false"/>
          <w:smallCaps w:val="false"/>
          <w:sz w:val="20"/>
        </w:rPr>
        <w:t>Underwriting Agreement</w:t>
      </w:r>
      <w:r>
        <w:rPr>
          <w:rFonts w:ascii="Times New Roman" w:hAnsi="Times New Roman"/>
          <w:caps w:val="false"/>
          <w:smallCaps w:val="false"/>
          <w:sz w:val="20"/>
        </w:rPr>
        <w:t xml:space="preserve">) with Jefferies LLC, Stifel, Nicolaus &amp; Company, Incorporated, and William Blair &amp; Company, L.L.C., as the representatives of the underwriters identified therein (the </w:t>
      </w:r>
      <w:r>
        <w:rPr>
          <w:rFonts w:ascii="Times New Roman" w:hAnsi="Times New Roman"/>
          <w:i/>
          <w:caps w:val="false"/>
          <w:smallCaps w:val="false"/>
          <w:sz w:val="20"/>
        </w:rPr>
        <w:t>Underwriters</w:t>
      </w:r>
      <w:r>
        <w:rPr>
          <w:rFonts w:ascii="Times New Roman" w:hAnsi="Times New Roman"/>
          <w:caps w:val="false"/>
          <w:smallCaps w:val="false"/>
          <w:sz w:val="20"/>
        </w:rPr>
        <w:t xml:space="preserve">), in connection with the underwritten offering, issuance and sale by the Company of 15,010,810 shares of our common stock, pre-funded warrants to purchase up to 3,577,240 shares of common stock (the </w:t>
      </w:r>
      <w:r>
        <w:rPr>
          <w:rFonts w:ascii="Times New Roman" w:hAnsi="Times New Roman"/>
          <w:i/>
          <w:caps w:val="false"/>
          <w:smallCaps w:val="false"/>
          <w:sz w:val="20"/>
        </w:rPr>
        <w:t>Pre-Funded Warrants</w:t>
      </w:r>
      <w:r>
        <w:rPr>
          <w:rFonts w:ascii="Times New Roman" w:hAnsi="Times New Roman"/>
          <w:caps w:val="false"/>
          <w:smallCaps w:val="false"/>
          <w:sz w:val="20"/>
        </w:rPr>
        <w:t xml:space="preserve">), warrants to purchase up to 9,294,022 shares of common stock (or pre-funded warrants to purchase up to 9,294,022 shares of common stock in lieu thereof) (the </w:t>
      </w:r>
      <w:r>
        <w:rPr>
          <w:rStyle w:val="Emphasis"/>
          <w:rFonts w:ascii="Times New Roman" w:hAnsi="Times New Roman"/>
          <w:i/>
          <w:caps w:val="false"/>
          <w:smallCaps w:val="false"/>
          <w:sz w:val="20"/>
        </w:rPr>
        <w:t>T1</w:t>
      </w:r>
      <w:r>
        <w:rPr>
          <w:rFonts w:ascii="Times New Roman" w:hAnsi="Times New Roman"/>
          <w:i/>
          <w:caps w:val="false"/>
          <w:smallCaps w:val="false"/>
          <w:sz w:val="20"/>
        </w:rPr>
        <w:t xml:space="preserve"> Warrants</w:t>
      </w:r>
      <w:r>
        <w:rPr>
          <w:rFonts w:ascii="Times New Roman" w:hAnsi="Times New Roman"/>
          <w:caps w:val="false"/>
          <w:smallCaps w:val="false"/>
          <w:sz w:val="20"/>
        </w:rPr>
        <w:t xml:space="preserve">) and warrants to purchase 11,265,086 shares of common stock (or pre-funded warrants to purchase up to 11,265,086 shares of common stock in lieu thereof) (the </w:t>
      </w:r>
      <w:r>
        <w:rPr>
          <w:rStyle w:val="Emphasis"/>
          <w:rFonts w:ascii="Times New Roman" w:hAnsi="Times New Roman"/>
          <w:i/>
          <w:caps w:val="false"/>
          <w:smallCaps w:val="false"/>
          <w:sz w:val="20"/>
        </w:rPr>
        <w:t>T2</w:t>
      </w:r>
      <w:r>
        <w:rPr>
          <w:rFonts w:ascii="Times New Roman" w:hAnsi="Times New Roman"/>
          <w:i/>
          <w:caps w:val="false"/>
          <w:smallCaps w:val="false"/>
          <w:sz w:val="20"/>
        </w:rPr>
        <w:t xml:space="preserve"> Warrants</w:t>
      </w:r>
      <w:r>
        <w:rPr>
          <w:rFonts w:ascii="Times New Roman" w:hAnsi="Times New Roman"/>
          <w:caps w:val="false"/>
          <w:smallCaps w:val="false"/>
          <w:sz w:val="20"/>
        </w:rPr>
        <w:t xml:space="preserve">). The combined offering price for each share of common stock, accompanying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and accompanying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was $5.38. The combined offering price per Pre-Funded Warrant, accompanying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and accompanying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was $5.379. The securities were issued pursuant to the Company’s effective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254299</w:t>
      </w:r>
      <w:r>
        <w:rPr>
          <w:rFonts w:ascii="Times New Roman" w:hAnsi="Times New Roman"/>
          <w:caps w:val="false"/>
          <w:smallCaps w:val="false"/>
          <w:sz w:val="20"/>
        </w:rPr>
        <w:t xml:space="preserve">) (the </w:t>
      </w:r>
      <w:r>
        <w:rPr>
          <w:rFonts w:ascii="Times New Roman" w:hAnsi="Times New Roman"/>
          <w:i/>
          <w:caps w:val="false"/>
          <w:smallCaps w:val="false"/>
          <w:sz w:val="20"/>
        </w:rPr>
        <w:t>S-</w:t>
      </w:r>
      <w:r>
        <w:rPr>
          <w:rStyle w:val="Emphasis"/>
          <w:rFonts w:ascii="Times New Roman" w:hAnsi="Times New Roman"/>
          <w:i/>
          <w:caps w:val="false"/>
          <w:smallCaps w:val="false"/>
          <w:sz w:val="20"/>
        </w:rPr>
        <w:t>3</w:t>
      </w:r>
      <w:r>
        <w:rPr>
          <w:rFonts w:ascii="Times New Roman" w:hAnsi="Times New Roman"/>
          <w:i/>
          <w:caps w:val="false"/>
          <w:smallCaps w:val="false"/>
          <w:sz w:val="20"/>
        </w:rPr>
        <w:t xml:space="preserve"> Shelf Registration Statement</w:t>
      </w:r>
      <w:r>
        <w:rPr>
          <w:rFonts w:ascii="Times New Roman" w:hAnsi="Times New Roman"/>
          <w:caps w:val="false"/>
          <w:smallCaps w:val="false"/>
          <w:sz w:val="20"/>
        </w:rPr>
        <w:t xml:space="preserve">) and a related prospectus supplement filed with the Securities and Exchange Commission (the </w:t>
      </w:r>
      <w:r>
        <w:rPr>
          <w:rStyle w:val="Emphasis"/>
          <w:rFonts w:ascii="Times New Roman" w:hAnsi="Times New Roman"/>
          <w:i/>
          <w:caps w:val="false"/>
          <w:smallCaps w:val="false"/>
          <w:sz w:val="20"/>
        </w:rPr>
        <w:t xml:space="preserve">October 2023 </w:t>
      </w:r>
      <w:r>
        <w:rPr>
          <w:rFonts w:ascii="Times New Roman" w:hAnsi="Times New Roman"/>
          <w:i/>
          <w:caps w:val="false"/>
          <w:smallCaps w:val="false"/>
          <w:sz w:val="20"/>
        </w:rPr>
        <w:t>Public Offering</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Public Offering closed on </w:t>
      </w:r>
      <w:r>
        <w:rPr>
          <w:rStyle w:val="Emphasis"/>
          <w:rFonts w:ascii="Times New Roman" w:hAnsi="Times New Roman"/>
          <w:caps w:val="false"/>
          <w:smallCaps w:val="false"/>
          <w:sz w:val="20"/>
        </w:rPr>
        <w:t xml:space="preserve">October 4, 2023, </w:t>
      </w:r>
      <w:r>
        <w:rPr>
          <w:rFonts w:ascii="Times New Roman" w:hAnsi="Times New Roman"/>
          <w:caps w:val="false"/>
          <w:smallCaps w:val="false"/>
          <w:sz w:val="20"/>
        </w:rPr>
        <w:t xml:space="preserve">at which time we received net proceeds of approximately $93.5 million, after deducting underwriting discounts and commissions and estimated offering expenses payable by the Company. Refer to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for additional information regarding the securities offered, issued and sold in connection with the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ATM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September 14, 2023, </w:t>
      </w:r>
      <w:r>
        <w:rPr>
          <w:rFonts w:ascii="Times New Roman" w:hAnsi="Times New Roman"/>
          <w:caps w:val="false"/>
          <w:smallCaps w:val="false"/>
          <w:sz w:val="20"/>
        </w:rPr>
        <w:t>we sold an aggregate of 4,137,077 shares of common stock under the Open Market Sale Agreement SM (</w:t>
      </w:r>
      <w:r>
        <w:rPr>
          <w:rFonts w:ascii="Times New Roman" w:hAnsi="Times New Roman"/>
          <w:i/>
          <w:caps w:val="false"/>
          <w:smallCaps w:val="false"/>
          <w:sz w:val="20"/>
        </w:rPr>
        <w:t>Sales Agreement</w:t>
      </w:r>
      <w:r>
        <w:rPr>
          <w:rFonts w:ascii="Times New Roman" w:hAnsi="Times New Roman"/>
          <w:caps w:val="false"/>
          <w:smallCaps w:val="false"/>
          <w:sz w:val="20"/>
        </w:rPr>
        <w:t>) for the at-the-market offering (</w:t>
      </w:r>
      <w:r>
        <w:rPr>
          <w:rFonts w:ascii="Times New Roman" w:hAnsi="Times New Roman"/>
          <w:i/>
          <w:caps w:val="false"/>
          <w:smallCaps w:val="false"/>
          <w:sz w:val="20"/>
        </w:rPr>
        <w:t>ATM</w:t>
      </w:r>
      <w:r>
        <w:rPr>
          <w:rFonts w:ascii="Times New Roman" w:hAnsi="Times New Roman"/>
          <w:caps w:val="false"/>
          <w:smallCaps w:val="false"/>
          <w:sz w:val="20"/>
        </w:rPr>
        <w:t>) program with Jefferies LLC (</w:t>
      </w:r>
      <w:r>
        <w:rPr>
          <w:rFonts w:ascii="Times New Roman" w:hAnsi="Times New Roman"/>
          <w:i/>
          <w:caps w:val="false"/>
          <w:smallCaps w:val="false"/>
          <w:sz w:val="20"/>
        </w:rPr>
        <w:t>Jefferies</w:t>
      </w:r>
      <w:r>
        <w:rPr>
          <w:rFonts w:ascii="Times New Roman" w:hAnsi="Times New Roman"/>
          <w:caps w:val="false"/>
          <w:smallCaps w:val="false"/>
          <w:sz w:val="20"/>
        </w:rPr>
        <w:t>) for aggregate net cash proceeds of approximately $35.1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accompanying unaudited condensed consolidated financial statements have been prepared in accordance with accounting principles generally accepted in the United States of America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GAAP</w:t>
      </w:r>
      <w:r>
        <w:rPr>
          <w:rFonts w:ascii="Times New Roman" w:hAnsi="Times New Roman"/>
          <w:caps w:val="false"/>
          <w:smallCaps w:val="false"/>
          <w:sz w:val="20"/>
        </w:rPr>
        <w:t xml:space="preserve">) applicable to interim periods and, in the opinion of management, include all normal recurring adjustments, necessary to state fairly the results of operations for the reported periods. Our condensed consolidated financial statements have also been prepared on a basis substantially consistent with, and should be read in conjunction with our audited consolidated financial statements for the year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which are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w:t>
      </w:r>
      <w:r>
        <w:rPr>
          <w:rFonts w:ascii="Times New Roman" w:hAnsi="Times New Roman"/>
          <w:i/>
          <w:caps w:val="false"/>
          <w:smallCaps w:val="false"/>
          <w:sz w:val="20"/>
        </w:rPr>
        <w:t>Annual Report)</w:t>
      </w:r>
      <w:r>
        <w:rPr>
          <w:rFonts w:ascii="Times New Roman" w:hAnsi="Times New Roman"/>
          <w:caps w:val="false"/>
          <w:smallCaps w:val="false"/>
          <w:sz w:val="20"/>
        </w:rPr>
        <w:t xml:space="preserve"> which was filed with the Securities and Exchange Commission on </w:t>
      </w:r>
      <w:r>
        <w:rPr>
          <w:rStyle w:val="Emphasis"/>
          <w:rFonts w:ascii="Times New Roman" w:hAnsi="Times New Roman"/>
          <w:caps w:val="false"/>
          <w:smallCaps w:val="false"/>
          <w:sz w:val="20"/>
        </w:rPr>
        <w:t>June 28, 2023</w:t>
      </w:r>
      <w:r>
        <w:rPr>
          <w:rFonts w:ascii="Times New Roman" w:hAnsi="Times New Roman"/>
          <w:i/>
          <w:caps w:val="false"/>
          <w:smallCaps w:val="false"/>
          <w:sz w:val="20"/>
        </w:rPr>
        <w:t>.</w:t>
      </w:r>
      <w:r>
        <w:rPr>
          <w:rFonts w:ascii="Times New Roman" w:hAnsi="Times New Roman"/>
          <w:caps w:val="false"/>
          <w:smallCaps w:val="false"/>
          <w:sz w:val="20"/>
        </w:rPr>
        <w:t xml:space="preserve"> The year-end condensed consolidated balance sheet was derived from our audited consolidated financial statements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disclosures required by U.S. GAAP.  The results of our operations for any interim periods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of our operations for any other interim period or for a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include the accounts of Vistagen and its subsidiaries. All intercompany accounts and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significant accounting policies are described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Notes to the consolidated financial statements included in our Annual Report.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new accounting policies, including the adoption of new accounting standards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which would materially impact the Company’s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6, 2023, </w:t>
      </w:r>
      <w:r>
        <w:rPr>
          <w:rFonts w:ascii="Times New Roman" w:hAnsi="Times New Roman"/>
          <w:caps w:val="false"/>
          <w:smallCaps w:val="false"/>
          <w:sz w:val="20"/>
        </w:rPr>
        <w:t xml:space="preserve">we implemented a stockholder-approved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-for-30) reverse split of our common stock (the </w:t>
      </w:r>
      <w:r>
        <w:rPr>
          <w:rFonts w:ascii="Times New Roman" w:hAnsi="Times New Roman"/>
          <w:i/>
          <w:caps w:val="false"/>
          <w:smallCaps w:val="false"/>
          <w:sz w:val="20"/>
        </w:rPr>
        <w:t>Reverse Stock Split</w:t>
      </w:r>
      <w:r>
        <w:rPr>
          <w:rFonts w:ascii="Times New Roman" w:hAnsi="Times New Roman"/>
          <w:caps w:val="false"/>
          <w:smallCaps w:val="false"/>
          <w:sz w:val="20"/>
        </w:rPr>
        <w:t xml:space="preserve">). All share and per share data for all periods presented in the accompanying condensed consolidated financial statements and related disclosures in this Report have been adjusted retrospectively to reflect the Reverse Stock Split.  Refer to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w:t>
      </w:r>
      <w:r>
        <w:rPr>
          <w:rFonts w:ascii="Times New Roman" w:hAnsi="Times New Roman"/>
          <w:i/>
          <w:caps w:val="false"/>
          <w:smallCaps w:val="false"/>
          <w:sz w:val="20"/>
        </w:rPr>
        <w:t>Capital Stock</w:t>
      </w:r>
      <w:r>
        <w:rPr>
          <w:rFonts w:ascii="Times New Roman" w:hAnsi="Times New Roman"/>
          <w:caps w:val="false"/>
          <w:smallCaps w:val="false"/>
          <w:sz w:val="20"/>
        </w:rPr>
        <w: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had cash and cash equivalents of approximately $37.6 million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as noted above, we received net proceeds of approximately $93.5 million from our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Public Offering, which we believe is sufficient to fund our planned operations for more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following the issuance of these condensed consolidated financial statements with primary emphasis on continuing to advance our potential U. S. New Drug Application (</w:t>
      </w:r>
      <w:r>
        <w:rPr>
          <w:rFonts w:ascii="Times New Roman" w:hAnsi="Times New Roman"/>
          <w:i/>
          <w:caps w:val="false"/>
          <w:smallCaps w:val="false"/>
          <w:sz w:val="20"/>
        </w:rPr>
        <w:t>NDA</w:t>
      </w:r>
      <w:r>
        <w:rPr>
          <w:rFonts w:ascii="Times New Roman" w:hAnsi="Times New Roman"/>
          <w:caps w:val="false"/>
          <w:smallCaps w:val="false"/>
          <w:sz w:val="20"/>
        </w:rPr>
        <w:t xml:space="preserve">)-enabling PALISADE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program for the development of fasedienol for the acute treatment of anxiety in adults with social anxiety disorder (</w:t>
      </w:r>
      <w:r>
        <w:rPr>
          <w:rFonts w:ascii="Times New Roman" w:hAnsi="Times New Roman"/>
          <w:i/>
          <w:caps w:val="false"/>
          <w:smallCaps w:val="false"/>
          <w:sz w:val="20"/>
        </w:rPr>
        <w:t>SAD</w:t>
      </w:r>
      <w:r>
        <w:rPr>
          <w:rFonts w:ascii="Times New Roman" w:hAnsi="Times New Roman"/>
          <w:caps w:val="false"/>
          <w:smallCaps w:val="false"/>
          <w:sz w:val="20"/>
        </w:rPr>
        <w:t>) including our PALISADE-</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PALISADE-</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and PALISADE Repeat Dose Study clinical trials, as well as potential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clinical development of itruvone for major depressive disorder (</w:t>
      </w:r>
      <w:r>
        <w:rPr>
          <w:rFonts w:ascii="Times New Roman" w:hAnsi="Times New Roman"/>
          <w:i/>
          <w:caps w:val="false"/>
          <w:smallCaps w:val="false"/>
          <w:sz w:val="20"/>
        </w:rPr>
        <w:t>MDD</w:t>
      </w:r>
      <w:r>
        <w:rPr>
          <w:rFonts w:ascii="Times New Roman" w:hAnsi="Times New Roman"/>
          <w:caps w:val="false"/>
          <w:smallCaps w:val="false"/>
          <w:sz w:val="20"/>
        </w:rPr>
        <w:t xml:space="preserve">) and various nonclinical studies of our other pherine candidates. However, as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developed products that generate recurring revenue and, in the event we successfully complete future clinical and/or nonclinical programs, we will need to obtain and invest substantial additional capital resources to develop and commercialize any of our product candidates.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satisfy our future cash needs through the sale of equity or debt securities, government grants and research awards, and strategic development and commercialization collaborations involving drug candidates in the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include those relating to revenue recognition, share-based compensation, right-of-use assets and lease liabilities and assumptions that have been used historically to value warrants and warrant modifications. Actual results could differ from those estimates.  Changes in estimates are reflected in the reported results in the period in which they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components of other comprehensive loss other than net loss, and accordingly, our comprehensive loss is equivalent to our net loss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financial assets that are measured on a recurring basis at fair value were $25,307,400 and $5,010,800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respectively. These assets are held in money market funds and are classified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fair value hierarchy. We had no financial liabilities that are measured on a recurring basis at fair value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Note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we executed a 7.43% promissory note in the principal amount of $879,500 in connection with certain insurance policy renewal premiums. The note was payable in monthly installments of $100,800, including principal and interest, through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We paid this note in full in </w:t>
      </w:r>
      <w:r>
        <w:rPr>
          <w:rStyle w:val="Emphasis"/>
          <w:rFonts w:ascii="Times New Roman" w:hAnsi="Times New Roman"/>
          <w:caps w:val="false"/>
          <w:smallCaps w:val="false"/>
          <w:sz w:val="20"/>
        </w:rPr>
        <w:t>August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we executed a 3.88% promissory note in the principal amount of $1,139,700 in connection with certain insurance policy premiums. The note was payable in monthly installments of $105,600, including principal and interest, and we paid this note in full in </w:t>
      </w:r>
      <w:r>
        <w:rPr>
          <w:rStyle w:val="Emphasis"/>
          <w:rFonts w:ascii="Times New Roman" w:hAnsi="Times New Roman"/>
          <w:caps w:val="false"/>
          <w:smallCaps w:val="false"/>
          <w:sz w:val="20"/>
        </w:rPr>
        <w:t>April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Reverse Split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6, 2023, </w:t>
      </w:r>
      <w:r>
        <w:rPr>
          <w:rFonts w:ascii="Times New Roman" w:hAnsi="Times New Roman"/>
          <w:caps w:val="false"/>
          <w:smallCaps w:val="false"/>
          <w:sz w:val="20"/>
        </w:rPr>
        <w:t xml:space="preserve">we implemented the stock-holder approved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-for-30) Reverse Stock Split. The Reverse Stock Split reduced the number of shares of our common stock outstanding. Additionally, the number of shares and exercise prices of outstanding options to purchase common stock granted under our stockholder-approved option plans and outstanding warrants to purchase common stock have been adjusted proportionately. Our authorized shares of common stock remain at 325,000,000 and our authorized shares of preferred stock remain at 10,000,000. The par value of each of our common stock and preferred stock remains at $0.001 per share. All share and per share data for all periods presented in the accompanying condensed consolidated financial statements and related disclosures in this Report have been adjusted retrospectively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ATM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we entered into the Sales Agreement with Jefferies with respect to our Open Market Sale Agreement SM for the ATM program under which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 our sole discretion, offer and sell, from time to time, shares of our common stock having an aggregate offering price of up to $75.0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2023, </w:t>
      </w:r>
      <w:r>
        <w:rPr>
          <w:rFonts w:ascii="Times New Roman" w:hAnsi="Times New Roman"/>
          <w:caps w:val="false"/>
          <w:smallCaps w:val="false"/>
          <w:sz w:val="20"/>
        </w:rPr>
        <w:t xml:space="preserve">we sold an aggregate of 4,137,077 and 4,698,495 shares, respectively, of our common stock and received net cash proceeds of $35.1 million and $36.2 million, respectively, under the ATM.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sell any shares of our common stock under the ATM during Fiscal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Warrants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there were a total of 45,686 warrants outstanding and exercisable, of which 33,334 warrants have an exercise price of $15.00 per share and expire on </w:t>
      </w:r>
      <w:r>
        <w:rPr>
          <w:rStyle w:val="Emphasis"/>
          <w:rFonts w:ascii="Times New Roman" w:hAnsi="Times New Roman"/>
          <w:caps w:val="false"/>
          <w:smallCaps w:val="false"/>
          <w:sz w:val="20"/>
        </w:rPr>
        <w:t xml:space="preserve">December 9, 2024, </w:t>
      </w:r>
      <w:r>
        <w:rPr>
          <w:rFonts w:ascii="Times New Roman" w:hAnsi="Times New Roman"/>
          <w:caps w:val="false"/>
          <w:smallCaps w:val="false"/>
          <w:sz w:val="20"/>
        </w:rPr>
        <w:t xml:space="preserve">and the remaining 12,352 warrants have an exercise price of $21.90 and expire on </w:t>
      </w:r>
      <w:r>
        <w:rPr>
          <w:rStyle w:val="Emphasis"/>
          <w:rFonts w:ascii="Times New Roman" w:hAnsi="Times New Roman"/>
          <w:caps w:val="false"/>
          <w:smallCaps w:val="false"/>
          <w:sz w:val="20"/>
        </w:rPr>
        <w:t xml:space="preserve">July 25, 2025. </w:t>
      </w:r>
      <w:r>
        <w:rPr>
          <w:rFonts w:ascii="Times New Roman" w:hAnsi="Times New Roman"/>
          <w:caps w:val="false"/>
          <w:smallCaps w:val="false"/>
          <w:sz w:val="20"/>
        </w:rPr>
        <w:t xml:space="preserve">The weighted average exercise price of the outstanding warrants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is $16.87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2020, </w:t>
      </w:r>
      <w:r>
        <w:rPr>
          <w:rFonts w:ascii="Times New Roman" w:hAnsi="Times New Roman"/>
          <w:caps w:val="false"/>
          <w:smallCaps w:val="false"/>
          <w:sz w:val="20"/>
        </w:rPr>
        <w:t>we filed a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covering the resale of the shares underlying all of the currently outstanding warrants (the </w:t>
      </w:r>
      <w:r>
        <w:rPr>
          <w:rFonts w:ascii="Times New Roman" w:hAnsi="Times New Roman"/>
          <w:i/>
          <w:caps w:val="false"/>
          <w:smallCaps w:val="false"/>
          <w:sz w:val="20"/>
        </w:rPr>
        <w:t>Warrant Registration Statement</w:t>
      </w:r>
      <w:r>
        <w:rPr>
          <w:rFonts w:ascii="Times New Roman" w:hAnsi="Times New Roman"/>
          <w:caps w:val="false"/>
          <w:smallCaps w:val="false"/>
          <w:sz w:val="20"/>
        </w:rPr>
        <w:t xml:space="preserve">). The SEC declared the Warrant Registration Statement effective on </w:t>
      </w:r>
      <w:r>
        <w:rPr>
          <w:rStyle w:val="Emphasis"/>
          <w:rFonts w:ascii="Times New Roman" w:hAnsi="Times New Roman"/>
          <w:caps w:val="false"/>
          <w:smallCaps w:val="false"/>
          <w:sz w:val="20"/>
        </w:rPr>
        <w:t>May 13, 2020. No</w:t>
      </w:r>
      <w:r>
        <w:rPr>
          <w:rFonts w:ascii="Times New Roman" w:hAnsi="Times New Roman"/>
          <w:caps w:val="false"/>
          <w:smallCaps w:val="false"/>
          <w:sz w:val="20"/>
        </w:rPr>
        <w:t xml:space="preserve"> outstanding warrant is subject to any down-round anti-dilution protection feature. All of the outstanding warrants are exercisable by the holders only by payment in cash of the stated exercise price per share.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Subsequent to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we completed the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Public Offering pursuant to which we offered and sold 15,010,810 shares of common stock, Pre-Funded Warrants to purchase up to 3,577,240 shares of common stock,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Warrants to purchase up to 9,294,022 shares of common stock (or pre-funded warrants to purchase up to 9,294,022 shares of common stock in lieu thereof) and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warrants to purchase 11,265,086 shares of common stock (or pre-funded warrants to purchase up to 11,265,086 shares of common stock in lieu thereof). Refer to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for additional information regarding the securities offered, issued and sold in connection with the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Public Offering.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summarizes stock-based compensation expense included in operating expenses:</w:t>
      </w:r>
    </w:p>
    <w:p>
      <w:pPr>
        <w:pStyle w:val="TextBody"/>
        <w:bidi w:val="0"/>
        <w:spacing w:before="0" w:after="0"/>
        <w:ind w:left="0" w:right="0" w:hanging="0"/>
        <w:jc w:val="left"/>
        <w:rPr>
          <w:caps w:val="false"/>
          <w:smallCaps w:val="false"/>
        </w:rPr>
      </w:pPr>
      <w:r>
        <w:rPr>
          <w:caps w:val="false"/>
          <w:smallCaps w:val="false"/>
        </w:rPr>
        <w:t> </w:t>
      </w:r>
    </w:p>
    <w:tbl>
      <w:tblPr>
        <w:tblW w:w="9502" w:type="dxa"/>
        <w:jc w:val="left"/>
        <w:tblInd w:w="0" w:type="dxa"/>
        <w:tblLayout w:type="fixed"/>
        <w:tblCellMar>
          <w:top w:w="0" w:type="dxa"/>
          <w:left w:w="0" w:type="dxa"/>
          <w:bottom w:w="0" w:type="dxa"/>
          <w:right w:w="0" w:type="dxa"/>
        </w:tblCellMar>
      </w:tblPr>
      <w:tblGrid>
        <w:gridCol w:w="3350"/>
        <w:gridCol w:w="60"/>
        <w:gridCol w:w="201"/>
        <w:gridCol w:w="1120"/>
        <w:gridCol w:w="96"/>
        <w:gridCol w:w="96"/>
        <w:gridCol w:w="201"/>
        <w:gridCol w:w="1362"/>
        <w:gridCol w:w="60"/>
        <w:gridCol w:w="60"/>
        <w:gridCol w:w="172"/>
        <w:gridCol w:w="1164"/>
        <w:gridCol w:w="82"/>
        <w:gridCol w:w="82"/>
        <w:gridCol w:w="172"/>
        <w:gridCol w:w="1164"/>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7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September 30, </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15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304,600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614,100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795,800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279,100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538,700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1,192,900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583,700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1,152,800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1,988,700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attributable to common stockholders per share of common stock excludes the effect of dilution and is generally computed by dividing net loss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As a result of our net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presented, potentially dilutive securities were excluded from the computation of diluted net loss per share, as their effect would be antidilutive. Potentially dilutive securities excluded in determining diluted net loss per share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5"/>
        <w:gridCol w:w="60"/>
        <w:gridCol w:w="99"/>
        <w:gridCol w:w="1153"/>
        <w:gridCol w:w="60"/>
        <w:gridCol w:w="60"/>
        <w:gridCol w:w="99"/>
        <w:gridCol w:w="1153"/>
        <w:gridCol w:w="76"/>
      </w:tblGrid>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At 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At September 30, </w:t>
            </w:r>
          </w:p>
        </w:tc>
        <w:tc>
          <w:tcPr>
            <w:tcW w:w="76"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76"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options under the Company's Amended and Restated 2016 (formerly 2008) Stock Incentive Plan and 2019 Omnibus Equity Incentive Plan</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664,511</w:t>
            </w:r>
          </w:p>
        </w:tc>
        <w:tc>
          <w:tcPr>
            <w:tcW w:w="76"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warrants to purchase common stock</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309,195</w:t>
            </w:r>
          </w:p>
        </w:tc>
        <w:tc>
          <w:tcPr>
            <w:tcW w:w="76"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973,706</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Sublicensing and Collaborative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recognized sublicense revenue of $277,700 and $455,300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respectively, and ($892,500) and ($582,500)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balances of our contract assets and liabilities related to our sublicensing agreement:</w:t>
      </w:r>
    </w:p>
    <w:p>
      <w:pPr>
        <w:pStyle w:val="TextBody"/>
        <w:bidi w:val="0"/>
        <w:spacing w:before="0" w:after="0"/>
        <w:ind w:left="0" w:right="0" w:hanging="0"/>
        <w:jc w:val="left"/>
        <w:rPr>
          <w:caps w:val="false"/>
          <w:smallCaps w:val="false"/>
        </w:rPr>
      </w:pPr>
      <w:r>
        <w:rPr>
          <w:caps w:val="false"/>
          <w:smallCaps w:val="false"/>
        </w:rPr>
        <w:t> </w:t>
      </w:r>
    </w:p>
    <w:tbl>
      <w:tblPr>
        <w:tblW w:w="8488" w:type="dxa"/>
        <w:jc w:val="left"/>
        <w:tblInd w:w="0" w:type="dxa"/>
        <w:tblLayout w:type="fixed"/>
        <w:tblCellMar>
          <w:top w:w="0" w:type="dxa"/>
          <w:left w:w="0" w:type="dxa"/>
          <w:bottom w:w="0" w:type="dxa"/>
          <w:right w:w="0" w:type="dxa"/>
        </w:tblCellMar>
      </w:tblPr>
      <w:tblGrid>
        <w:gridCol w:w="5210"/>
        <w:gridCol w:w="60"/>
        <w:gridCol w:w="217"/>
        <w:gridCol w:w="1467"/>
        <w:gridCol w:w="60"/>
        <w:gridCol w:w="60"/>
        <w:gridCol w:w="174"/>
        <w:gridCol w:w="1180"/>
        <w:gridCol w:w="60"/>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Balance at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Balance at </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2023</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assets included in "Deferred contract acquisition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284,700</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liabilities included in "Deferred revenue"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4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2,573,600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1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3,028,900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AffaMed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2020, </w:t>
      </w:r>
      <w:r>
        <w:rPr>
          <w:rFonts w:ascii="Times New Roman" w:hAnsi="Times New Roman"/>
          <w:caps w:val="false"/>
          <w:smallCaps w:val="false"/>
          <w:sz w:val="20"/>
        </w:rPr>
        <w:t xml:space="preserve">we entered into a license and collaboration agreement (the </w:t>
      </w:r>
      <w:r>
        <w:rPr>
          <w:rFonts w:ascii="Times New Roman" w:hAnsi="Times New Roman"/>
          <w:i/>
          <w:caps w:val="false"/>
          <w:smallCaps w:val="false"/>
          <w:sz w:val="20"/>
        </w:rPr>
        <w:t>AffaMed Agreement</w:t>
      </w:r>
      <w:r>
        <w:rPr>
          <w:rFonts w:ascii="Times New Roman" w:hAnsi="Times New Roman"/>
          <w:caps w:val="false"/>
          <w:smallCaps w:val="false"/>
          <w:sz w:val="20"/>
        </w:rPr>
        <w:t>) with EverInsight Therapeutics Inc., a company incorporated under the laws of the British Virgin Islands, now AffaMed Therapeutics, Inc. (</w:t>
      </w:r>
      <w:r>
        <w:rPr>
          <w:rFonts w:ascii="Times New Roman" w:hAnsi="Times New Roman"/>
          <w:i/>
          <w:caps w:val="false"/>
          <w:smallCaps w:val="false"/>
          <w:sz w:val="20"/>
        </w:rPr>
        <w:t>AffaMed</w:t>
      </w:r>
      <w:r>
        <w:rPr>
          <w:rFonts w:ascii="Times New Roman" w:hAnsi="Times New Roman"/>
          <w:caps w:val="false"/>
          <w:smallCaps w:val="false"/>
          <w:sz w:val="20"/>
        </w:rPr>
        <w:t xml:space="preserve">), pursuant to which we granted AffaMed an exclusive license to develop and commercialize fasedienol for SAD and other anxiety-related disorders in Greater China, South Korea and Southeast Asia (which includes Indonesia, Malaysia, Philippines, Thailand and Vietnam) (collectively, the </w:t>
      </w:r>
      <w:r>
        <w:rPr>
          <w:rFonts w:ascii="Times New Roman" w:hAnsi="Times New Roman"/>
          <w:i/>
          <w:caps w:val="false"/>
          <w:smallCaps w:val="false"/>
          <w:sz w:val="20"/>
        </w:rPr>
        <w:t>Territory</w:t>
      </w:r>
      <w:r>
        <w:rPr>
          <w:rFonts w:ascii="Times New Roman" w:hAnsi="Times New Roman"/>
          <w:caps w:val="false"/>
          <w:smallCaps w:val="false"/>
          <w:sz w:val="20"/>
        </w:rPr>
        <w:t>). We retain exclusive development and commercialization rights for fasedienol in the U.S. and throughout the rest of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terms of the AffaMed Agreement, AffaMed paid to us a non-refundable upfront license payment of $5.0 million 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Additionally, upon successful development and commercialization of fasedienol in the Territory, we are eligible to receive milestone payments of up to $172.0 million. Further, we are eligible to receive royalty payments on a country-by-country basis on net sales for the later of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or the expiration of market or regulatory exclusivity in the jurisdiction, except that payments will be reduced on a country-by-country basis in the event that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exclusivity in the period. Royalty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be reduced if there is generic competitive product in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determined that we have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combined performance obligation for the license to develop and commercialize fasedienol in the Territory and related development and regulatory services. In addition, AffaMed has an option that will create manufacturing obligations for us during development upon exercise by AffaMed. This option for manufacturing services was evaluated and determined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include a material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Development and commercialization milestones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probable at inception and therefore were excluded from the initial transaction price. The royalties were excluded from the initial transaction price because they relate to a license of intellectual property and are subject to the royalty constraint.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revenue as the combined performance obligation is satisfied over time using an output method. The measure of progress is stand-ready straight-line over the period in which we expect to perform the services related to the license of fasedienol. Accordingly, we recognize revenue on a straight-line basis over the period in which we expect to perform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Significant management judgment is required to determine the level of effort attributable to the performance obligation included in the AffaMed Agreement and the period over which we expect to complete our performance obligation. The performance period or measure of progress is estimated at the inception of the arrangement and re-evaluated in subsequent reporting periods. This re-evaluation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shorten or lengthen the period over which we recognize revenue. At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we extended the date in our estimate to complete the performance obligation. As a result of the change in our estimate of the time required to complete our performance obligation, we recorded a cumulative catch-up adjustment at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resulting in derecognition of $892,500 of previously recognized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Unless earlier terminated due to certain material breaches of the contract, or otherwise, the AffaMed Agreement will expire on a jurisdiction-by-jurisdiction basis until the latest to occur of expiration of the last valid claim under a licensed patent of fasedienol in such jurisdiction, the expiration of regulatory exclusivity in such jurisdiction or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fasedienol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Fuji Pharma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 2023, </w:t>
      </w:r>
      <w:r>
        <w:rPr>
          <w:rFonts w:ascii="Times New Roman" w:hAnsi="Times New Roman"/>
          <w:caps w:val="false"/>
          <w:smallCaps w:val="false"/>
          <w:sz w:val="20"/>
        </w:rPr>
        <w:t xml:space="preserve">we entered into an Exclusive Negotiation Agreement (the </w:t>
      </w:r>
      <w:r>
        <w:rPr>
          <w:rFonts w:ascii="Times New Roman" w:hAnsi="Times New Roman"/>
          <w:i/>
          <w:caps w:val="false"/>
          <w:smallCaps w:val="false"/>
          <w:sz w:val="20"/>
        </w:rPr>
        <w:t>Negotiation</w:t>
      </w:r>
      <w:r>
        <w:rPr>
          <w:rFonts w:ascii="Times New Roman" w:hAnsi="Times New Roman"/>
          <w:caps w:val="false"/>
          <w:smallCaps w:val="false"/>
          <w:sz w:val="20"/>
        </w:rPr>
        <w:t> </w:t>
      </w:r>
      <w:r>
        <w:rPr>
          <w:rFonts w:ascii="Times New Roman" w:hAnsi="Times New Roman"/>
          <w:i/>
          <w:caps w:val="false"/>
          <w:smallCaps w:val="false"/>
          <w:sz w:val="20"/>
        </w:rPr>
        <w:t>Agreement</w:t>
      </w:r>
      <w:r>
        <w:rPr>
          <w:rFonts w:ascii="Times New Roman" w:hAnsi="Times New Roman"/>
          <w:caps w:val="false"/>
          <w:smallCaps w:val="false"/>
          <w:sz w:val="20"/>
        </w:rPr>
        <w:t>) with Fuji Pharma Co., Ltd. (</w:t>
      </w:r>
      <w:r>
        <w:rPr>
          <w:rFonts w:ascii="Times New Roman" w:hAnsi="Times New Roman"/>
          <w:i/>
          <w:caps w:val="false"/>
          <w:smallCaps w:val="false"/>
          <w:sz w:val="20"/>
        </w:rPr>
        <w:t>Fuji Pharma</w:t>
      </w:r>
      <w:r>
        <w:rPr>
          <w:rFonts w:ascii="Times New Roman" w:hAnsi="Times New Roman"/>
          <w:caps w:val="false"/>
          <w:smallCaps w:val="false"/>
          <w:sz w:val="20"/>
        </w:rPr>
        <w:t xml:space="preserve">), a Tokyo Stock Exchange listed, Japan-based pharmaceutical company. Pursuant to the terms and conditions of the Negotiation Agreement, we agreed, for a limited period of time (described below), to negotiate exclusively with Fuji Pharma a potential license to develop and commercialize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product candidate in Japan, including for the acute treatment of moderate to severe vasomotor symptoms (hot flashes) due to menopause and potentially other indications. The Negotiation Agreement provides for a term of the later to occur of (i) </w:t>
      </w:r>
      <w:r>
        <w:rPr>
          <w:rStyle w:val="Emphasis"/>
          <w:rFonts w:ascii="Times New Roman" w:hAnsi="Times New Roman"/>
          <w:caps w:val="false"/>
          <w:smallCaps w:val="false"/>
          <w:sz w:val="20"/>
        </w:rPr>
        <w:t>fourteen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months beginning on the date of receipt of the Purchase Price (defined below) by the Company or (ii) </w:t>
      </w:r>
      <w:r>
        <w:rPr>
          <w:rStyle w:val="Emphasis"/>
          <w:rFonts w:ascii="Times New Roman" w:hAnsi="Times New Roman"/>
          <w:caps w:val="false"/>
          <w:smallCaps w:val="false"/>
          <w:sz w:val="20"/>
        </w:rPr>
        <w:t>ninety</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from the date that the U.S. Food and Drug Administration accepts an Investigational New Drug application for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for the treatment of vasomotor symptoms (hot flashes) due to menopause (</w:t>
      </w:r>
      <w:r>
        <w:rPr>
          <w:rFonts w:ascii="Times New Roman" w:hAnsi="Times New Roman"/>
          <w:i/>
          <w:caps w:val="false"/>
          <w:smallCaps w:val="false"/>
          <w:sz w:val="20"/>
        </w:rPr>
        <w:t>Exclusive Negotiation Period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consideration for the Exclusive Negotiation Period provided by the Company to Fuji Pharma under the Negotiation Agreement, Fuji Pharma agreed to make a payment of $1.5 million (</w:t>
      </w:r>
      <w:r>
        <w:rPr>
          <w:rFonts w:ascii="Times New Roman" w:hAnsi="Times New Roman"/>
          <w:i/>
          <w:caps w:val="false"/>
          <w:smallCaps w:val="false"/>
          <w:sz w:val="20"/>
        </w:rPr>
        <w:t>Purchase</w:t>
      </w:r>
      <w:r>
        <w:rPr>
          <w:rFonts w:ascii="Times New Roman" w:hAnsi="Times New Roman"/>
          <w:caps w:val="false"/>
          <w:smallCaps w:val="false"/>
          <w:sz w:val="20"/>
        </w:rPr>
        <w:t> </w:t>
      </w:r>
      <w:r>
        <w:rPr>
          <w:rFonts w:ascii="Times New Roman" w:hAnsi="Times New Roman"/>
          <w:i/>
          <w:caps w:val="false"/>
          <w:smallCaps w:val="false"/>
          <w:sz w:val="20"/>
        </w:rPr>
        <w:t>Price</w:t>
      </w:r>
      <w:r>
        <w:rPr>
          <w:rFonts w:ascii="Times New Roman" w:hAnsi="Times New Roman"/>
          <w:caps w:val="false"/>
          <w:smallCaps w:val="false"/>
          <w:sz w:val="20"/>
        </w:rPr>
        <w:t>), payable upon selection of a contract development and manufacturing organization (</w:t>
      </w:r>
      <w:r>
        <w:rPr>
          <w:rFonts w:ascii="Times New Roman" w:hAnsi="Times New Roman"/>
          <w:i/>
          <w:caps w:val="false"/>
          <w:smallCaps w:val="false"/>
          <w:sz w:val="20"/>
        </w:rPr>
        <w:t>CDMO</w:t>
      </w:r>
      <w:r>
        <w:rPr>
          <w:rFonts w:ascii="Times New Roman" w:hAnsi="Times New Roman"/>
          <w:caps w:val="false"/>
          <w:smallCaps w:val="false"/>
          <w:sz w:val="20"/>
        </w:rPr>
        <w:t xml:space="preserve">), which occurred in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We received the Purchase Price in full 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Purchase Price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refundable, except upon a material breach of the Negotiation Agreement by the Company. Should the Company and Fuji Pharma enter into a definitive license agreement during the Exclusive Negotiation Period for the development and commercialization of </w:t>
      </w:r>
      <w:r>
        <w:rPr>
          <w:rStyle w:val="Emphasis"/>
          <w:rFonts w:ascii="Times New Roman" w:hAnsi="Times New Roman"/>
          <w:caps w:val="false"/>
          <w:smallCaps w:val="false"/>
          <w:sz w:val="20"/>
        </w:rPr>
        <w:t>PH80</w:t>
      </w:r>
      <w:r>
        <w:rPr>
          <w:rFonts w:ascii="Times New Roman" w:hAnsi="Times New Roman"/>
          <w:caps w:val="false"/>
          <w:smallCaps w:val="false"/>
          <w:sz w:val="20"/>
        </w:rPr>
        <w:t xml:space="preserve"> in Japan (a </w:t>
      </w:r>
      <w:r>
        <w:rPr>
          <w:rFonts w:ascii="Times New Roman" w:hAnsi="Times New Roman"/>
          <w:i/>
          <w:caps w:val="false"/>
          <w:smallCaps w:val="false"/>
          <w:sz w:val="20"/>
        </w:rPr>
        <w:t>Potential Definitive Agreement</w:t>
      </w:r>
      <w:r>
        <w:rPr>
          <w:rFonts w:ascii="Times New Roman" w:hAnsi="Times New Roman"/>
          <w:caps w:val="false"/>
          <w:smallCaps w:val="false"/>
          <w:sz w:val="20"/>
        </w:rPr>
        <w:t xml:space="preserve">), the Purchase Price will be credited against the fee paid by Fuji Pharma to the Company in connection with the execution of such agreement. Neither the Company nor Fuji Pharma is obligated to enter into the Potential Definitive Agreement, and if the Company and Fuji Pharma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entered into the Potential Definitive Agreement on or before the end of the Exclusive Negotiation Period, either the Company or Fuji Pharma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terminate any further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we entered into a consulting agreement with our former Chief Financial Officer, Jerrold D. Dotson, to assist in transition matters related to the employment of our new Chief Financial Officer. Pursuant to the agreement, Mr. Dotson received an initial payment of $100,000 and $10,000 per month from </w:t>
      </w:r>
      <w:r>
        <w:rPr>
          <w:rStyle w:val="Emphasis"/>
          <w:rFonts w:ascii="Times New Roman" w:hAnsi="Times New Roman"/>
          <w:caps w:val="false"/>
          <w:smallCaps w:val="false"/>
          <w:sz w:val="20"/>
        </w:rPr>
        <w:t xml:space="preserve">September 2023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We recorded expense of $110,000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entered into a consulting agreement with FitzPatrick Co. LLC, a consulting firm for which Margaret FitzPatrick, an independent member of our Board, is Chief Executive Officer, to provide corporate development and public relations advisory services. The consulting agreement, as amended, was set to expire on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However, the Company and FitzPatrick Co. LLC mutually agreed to conclude the term of the agreement effective </w:t>
      </w:r>
      <w:r>
        <w:rPr>
          <w:rStyle w:val="Emphasis"/>
          <w:rFonts w:ascii="Times New Roman" w:hAnsi="Times New Roman"/>
          <w:caps w:val="false"/>
          <w:smallCaps w:val="false"/>
          <w:sz w:val="20"/>
        </w:rPr>
        <w:t xml:space="preserve">October 1, 2023, </w:t>
      </w:r>
      <w:r>
        <w:rPr>
          <w:rFonts w:ascii="Times New Roman" w:hAnsi="Times New Roman"/>
          <w:caps w:val="false"/>
          <w:smallCaps w:val="false"/>
          <w:sz w:val="20"/>
        </w:rPr>
        <w:t xml:space="preserve">as all matters set forth in the statement of work were completed as of that date. We recorded expense of $30,000 and $60,000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respectively, as compared to $45,000 and $90,000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11, 2022, </w:t>
      </w:r>
      <w:r>
        <w:rPr>
          <w:rFonts w:ascii="Times New Roman" w:hAnsi="Times New Roman"/>
          <w:caps w:val="false"/>
          <w:smallCaps w:val="false"/>
          <w:sz w:val="20"/>
        </w:rPr>
        <w:t xml:space="preserve">Ann Cunningham resigned as our Chief Commercial Officer, but remains a member of our Board. Following Ms. Cunningham’s resignation as Chief Commercial Officer, </w:t>
      </w:r>
      <w:r>
        <w:rPr>
          <w:rStyle w:val="Emphasis"/>
          <w:rFonts w:ascii="Times New Roman" w:hAnsi="Times New Roman"/>
          <w:caps w:val="false"/>
          <w:smallCaps w:val="false"/>
          <w:sz w:val="20"/>
        </w:rPr>
        <w:t>i3</w:t>
      </w:r>
      <w:r>
        <w:rPr>
          <w:rFonts w:ascii="Times New Roman" w:hAnsi="Times New Roman"/>
          <w:caps w:val="false"/>
          <w:smallCaps w:val="false"/>
          <w:sz w:val="20"/>
        </w:rPr>
        <w:t xml:space="preserve"> Strategy Partners, a consulting firm for which Ms. Cunningham is the Managing Partner, began providing certain advisory services to us pursuant to a consulting agreement. The initial term of the consulting agreement will end on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pursuant to the agreement, </w:t>
      </w:r>
      <w:r>
        <w:rPr>
          <w:rStyle w:val="Emphasis"/>
          <w:rFonts w:ascii="Times New Roman" w:hAnsi="Times New Roman"/>
          <w:caps w:val="false"/>
          <w:smallCaps w:val="false"/>
          <w:sz w:val="20"/>
        </w:rPr>
        <w:t>i3</w:t>
      </w:r>
      <w:r>
        <w:rPr>
          <w:rFonts w:ascii="Times New Roman" w:hAnsi="Times New Roman"/>
          <w:caps w:val="false"/>
          <w:smallCaps w:val="false"/>
          <w:sz w:val="20"/>
        </w:rPr>
        <w:t xml:space="preserve"> Strategy Partners received a fee of $120,000 for the period from the effective date of the agreement through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we recorded expense of $30,000 and $60,000,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time to time,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 party to litigation, arbitration or other legal proceedings in the course of our business. The outcome of any such legal proceedings, regardless of the merits, is inherently uncertain. In addition, litigation and related matters are costly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 xml:space="preserve">the Company entered into the Underwriting Agreement with the Underwriters, in connection with the underwritten offering, issuance and sale by of 15,010,810 shares of the Company’s common stock, Pre-Funded Warrants to purchase up to 3,577,240 shares of common stock,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warrants to purchase up to 9,294,022 shares of common stock (or pre-funded warrants to purchase up to 9,294,022 shares of common stock in lieu thereof) and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warrants to purchase 11,265,086 shares of common stock (or pre-funded warrants to purchase up to 11,265,086 shares of common stock in lieu thereof). The combined offering price for each share of common stock, accompanying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and accompanying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was $5.38. The combined offering price per Pre-Funded Warrant, accompanying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and accompanying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was $5.379. The securities were issued pursuant to the Company’s effective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254299</w:t>
      </w:r>
      <w:r>
        <w:rPr>
          <w:rFonts w:ascii="Times New Roman" w:hAnsi="Times New Roman"/>
          <w:caps w:val="false"/>
          <w:smallCaps w:val="false"/>
          <w:sz w:val="20"/>
        </w:rPr>
        <w:t xml:space="preserve">) and a related prospectus supplement filed with the Securities and Exchange Commission. The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Public Offering closed on </w:t>
      </w:r>
      <w:r>
        <w:rPr>
          <w:rStyle w:val="Emphasis"/>
          <w:rFonts w:ascii="Times New Roman" w:hAnsi="Times New Roman"/>
          <w:caps w:val="false"/>
          <w:smallCaps w:val="false"/>
          <w:sz w:val="20"/>
        </w:rPr>
        <w:t>October 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Each Pre-Funded Warrant has an exercise price per share of common stock equal to $0.001 per share, subject to certain adjustments. The Pre-Funded Warrants are exercisable at any time after </w:t>
      </w:r>
      <w:r>
        <w:rPr>
          <w:rStyle w:val="Emphasis"/>
          <w:rFonts w:ascii="Times New Roman" w:hAnsi="Times New Roman"/>
          <w:caps w:val="false"/>
          <w:smallCaps w:val="false"/>
          <w:sz w:val="20"/>
        </w:rPr>
        <w:t xml:space="preserve">October 4, 2023 </w:t>
      </w:r>
      <w:r>
        <w:rPr>
          <w:rFonts w:ascii="Times New Roman" w:hAnsi="Times New Roman"/>
          <w:caps w:val="false"/>
          <w:smallCaps w:val="false"/>
          <w:sz w:val="20"/>
        </w:rPr>
        <w:t xml:space="preserve">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expire. Under the Pre-Funded Warrants,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effect the exercise of any Pre-Funded Warrant, and a holder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entitled to exercise any portion of any Pre-Funded Warrant, which, upon giving effect to such exercise, would cause the aggregate number of shares of common stock beneficially owned by the holder of the Pre-Funded Warrant (together with its affiliates) to exceed 9.99% of the number of shares of common stock outstanding immediately after giving effect to the exercise. However, any holder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increase or decrease such percentage to any other percentage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excess of 19.99% if exceeding such percentage would result in a change of control under Nasdaq Listing Rule </w:t>
      </w:r>
      <w:r>
        <w:rPr>
          <w:rStyle w:val="Emphasis"/>
          <w:rFonts w:ascii="Times New Roman" w:hAnsi="Times New Roman"/>
          <w:caps w:val="false"/>
          <w:smallCaps w:val="false"/>
          <w:sz w:val="20"/>
        </w:rPr>
        <w:t>5636</w:t>
      </w:r>
      <w:r>
        <w:rPr>
          <w:rFonts w:ascii="Times New Roman" w:hAnsi="Times New Roman"/>
          <w:caps w:val="false"/>
          <w:smallCaps w:val="false"/>
          <w:sz w:val="20"/>
        </w:rPr>
        <w:t xml:space="preserve">(b) or any successor rule) upon at least </w:t>
      </w:r>
      <w:r>
        <w:rPr>
          <w:rStyle w:val="Emphasis"/>
          <w:rFonts w:ascii="Times New Roman" w:hAnsi="Times New Roman"/>
          <w:caps w:val="false"/>
          <w:smallCaps w:val="false"/>
          <w:sz w:val="20"/>
        </w:rPr>
        <w:t>61</w:t>
      </w:r>
      <w:r>
        <w:rPr>
          <w:rFonts w:ascii="Times New Roman" w:hAnsi="Times New Roman"/>
          <w:caps w:val="false"/>
          <w:smallCaps w:val="false"/>
          <w:sz w:val="20"/>
        </w:rPr>
        <w:t xml:space="preserve"> days’ prior notice from the holder to the Company subject to the terms of the Pre-Funded Warrant. At the holder’s sole discretion, the Pre-Funded Warrants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exercised through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Each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has an exercise price per share of common stock or pre-funded warrant equal to $5.38, subject to certain adjustments. The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Warrants are exercisable at any time on or after </w:t>
      </w:r>
      <w:r>
        <w:rPr>
          <w:rStyle w:val="Emphasis"/>
          <w:rFonts w:ascii="Times New Roman" w:hAnsi="Times New Roman"/>
          <w:caps w:val="false"/>
          <w:smallCaps w:val="false"/>
          <w:sz w:val="20"/>
        </w:rPr>
        <w:t xml:space="preserve">October 4, 2023 </w:t>
      </w:r>
      <w:r>
        <w:rPr>
          <w:rFonts w:ascii="Times New Roman" w:hAnsi="Times New Roman"/>
          <w:caps w:val="false"/>
          <w:smallCaps w:val="false"/>
          <w:sz w:val="20"/>
        </w:rPr>
        <w:t xml:space="preserve">and will expire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after the later of (i) the date on which the Company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publicly discloses, whether by press release or Form </w:t>
      </w:r>
      <w:r>
        <w:rPr>
          <w:rStyle w:val="Emphasis"/>
          <w:rFonts w:ascii="Times New Roman" w:hAnsi="Times New Roman"/>
          <w:caps w:val="false"/>
          <w:smallCaps w:val="false"/>
          <w:sz w:val="20"/>
        </w:rPr>
        <w:t>8</w:t>
      </w:r>
      <w:r>
        <w:rPr>
          <w:rFonts w:ascii="Times New Roman" w:hAnsi="Times New Roman"/>
          <w:caps w:val="false"/>
          <w:smallCaps w:val="false"/>
          <w:sz w:val="20"/>
        </w:rPr>
        <w:t>-K filing, the top-line data for its PALISADE-</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clinical trial of fasedienol for the acute treatment of anxiety in adults with SAD and (ii) the date on which the Company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publicly discloses, whether by press release or Form </w:t>
      </w:r>
      <w:r>
        <w:rPr>
          <w:rStyle w:val="Emphasis"/>
          <w:rFonts w:ascii="Times New Roman" w:hAnsi="Times New Roman"/>
          <w:caps w:val="false"/>
          <w:smallCaps w:val="false"/>
          <w:sz w:val="20"/>
        </w:rPr>
        <w:t>8</w:t>
      </w:r>
      <w:r>
        <w:rPr>
          <w:rFonts w:ascii="Times New Roman" w:hAnsi="Times New Roman"/>
          <w:caps w:val="false"/>
          <w:smallCaps w:val="false"/>
          <w:sz w:val="20"/>
        </w:rPr>
        <w:t>-K filing, the top-line data for its PALISADE-</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clinical trial of fasedienol for the acute treatment of anxiety in adults with SAD</w:t>
      </w:r>
      <w:r>
        <w:rPr>
          <w:rFonts w:ascii="Times New Roman" w:hAnsi="Times New Roman"/>
          <w:i/>
          <w:caps w:val="false"/>
          <w:smallCaps w:val="false"/>
          <w:sz w:val="20"/>
        </w:rPr>
        <w:t>.</w:t>
      </w:r>
      <w:r>
        <w:rPr>
          <w:rFonts w:ascii="Times New Roman" w:hAnsi="Times New Roman"/>
          <w:caps w:val="false"/>
          <w:smallCaps w:val="false"/>
          <w:sz w:val="20"/>
        </w:rPr>
        <w:t xml:space="preserve"> However, under the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effect the exercise of any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and a holder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entitled to exercise any portion of any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which, upon giving effect to such exercise, would cause the aggregate number of shares of common stock beneficially owned by the holder of the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(together with its affiliates) to exceed 9.99% of the number of shares of the common stock outstanding immediately after giving effect to the exercise. However, any holder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increase or decrease such percentage to any other percentage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excess of 19.99% if exceeding such percentage would result in a change of control under Nasdaq Listing Rule </w:t>
      </w:r>
      <w:r>
        <w:rPr>
          <w:rStyle w:val="Emphasis"/>
          <w:rFonts w:ascii="Times New Roman" w:hAnsi="Times New Roman"/>
          <w:caps w:val="false"/>
          <w:smallCaps w:val="false"/>
          <w:sz w:val="20"/>
        </w:rPr>
        <w:t>5636</w:t>
      </w:r>
      <w:r>
        <w:rPr>
          <w:rFonts w:ascii="Times New Roman" w:hAnsi="Times New Roman"/>
          <w:caps w:val="false"/>
          <w:smallCaps w:val="false"/>
          <w:sz w:val="20"/>
        </w:rPr>
        <w:t xml:space="preserve">(b) or any successor rule) upon at least </w:t>
      </w:r>
      <w:r>
        <w:rPr>
          <w:rStyle w:val="Emphasis"/>
          <w:rFonts w:ascii="Times New Roman" w:hAnsi="Times New Roman"/>
          <w:caps w:val="false"/>
          <w:smallCaps w:val="false"/>
          <w:sz w:val="20"/>
        </w:rPr>
        <w:t>61</w:t>
      </w:r>
      <w:r>
        <w:rPr>
          <w:rFonts w:ascii="Times New Roman" w:hAnsi="Times New Roman"/>
          <w:caps w:val="false"/>
          <w:smallCaps w:val="false"/>
          <w:sz w:val="20"/>
        </w:rPr>
        <w:t xml:space="preserve"> days’ prior notice from the holder to the Company subject to the terms of the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Generally, the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be exercised through a cash exercise, however, the holder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exercise the </w:t>
      </w:r>
      <w:r>
        <w:rPr>
          <w:rStyle w:val="Emphasis"/>
          <w:rFonts w:ascii="Times New Roman" w:hAnsi="Times New Roman"/>
          <w:caps w:val="false"/>
          <w:smallCaps w:val="false"/>
          <w:sz w:val="20"/>
        </w:rPr>
        <w:t>T1</w:t>
      </w:r>
      <w:r>
        <w:rPr>
          <w:rFonts w:ascii="Times New Roman" w:hAnsi="Times New Roman"/>
          <w:caps w:val="false"/>
          <w:smallCaps w:val="false"/>
          <w:sz w:val="20"/>
        </w:rPr>
        <w:t xml:space="preserve"> Warrant through a cashless exercise if, and only if, at the time of exercise hereof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effective registration statement registering, or the prospectus contained therein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for, the issuance of common stock or pre-funded warrants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Each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has an exercise price per share of common stock or pre-funded warrant equal to $8.877, subject to certain adjustments. The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Warrants are exercisable at any time on or after </w:t>
      </w:r>
      <w:r>
        <w:rPr>
          <w:rStyle w:val="Emphasis"/>
          <w:rFonts w:ascii="Times New Roman" w:hAnsi="Times New Roman"/>
          <w:caps w:val="false"/>
          <w:smallCaps w:val="false"/>
          <w:sz w:val="20"/>
        </w:rPr>
        <w:t xml:space="preserve">October 4, 2023 </w:t>
      </w:r>
      <w:r>
        <w:rPr>
          <w:rFonts w:ascii="Times New Roman" w:hAnsi="Times New Roman"/>
          <w:caps w:val="false"/>
          <w:smallCaps w:val="false"/>
          <w:sz w:val="20"/>
        </w:rPr>
        <w:t xml:space="preserve">and will expire on </w:t>
      </w:r>
      <w:r>
        <w:rPr>
          <w:rStyle w:val="Emphasis"/>
          <w:rFonts w:ascii="Times New Roman" w:hAnsi="Times New Roman"/>
          <w:caps w:val="false"/>
          <w:smallCaps w:val="false"/>
          <w:sz w:val="20"/>
        </w:rPr>
        <w:t xml:space="preserve">October 4, 2028. </w:t>
      </w: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effect the exercise of any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and a holder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entitled to exercise any portion of any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which, upon giving effect to such exercise, would cause the aggregate number of shares of common stock beneficially owned by the holder of the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(together with its affiliates) to exceed 9.99% of the number of shares of common stock outstanding immediately after giving effect to the exercise. However, any holder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increase or decrease such percentage to any other percentage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excess of 19.99% if exceeding such percentage would result in a change of control under Nasdaq Listing Rule </w:t>
      </w:r>
      <w:r>
        <w:rPr>
          <w:rStyle w:val="Emphasis"/>
          <w:rFonts w:ascii="Times New Roman" w:hAnsi="Times New Roman"/>
          <w:caps w:val="false"/>
          <w:smallCaps w:val="false"/>
          <w:sz w:val="20"/>
        </w:rPr>
        <w:t>5636</w:t>
      </w:r>
      <w:r>
        <w:rPr>
          <w:rFonts w:ascii="Times New Roman" w:hAnsi="Times New Roman"/>
          <w:caps w:val="false"/>
          <w:smallCaps w:val="false"/>
          <w:sz w:val="20"/>
        </w:rPr>
        <w:t xml:space="preserve">(b) or any successor rule) upon at least </w:t>
      </w:r>
      <w:r>
        <w:rPr>
          <w:rStyle w:val="Emphasis"/>
          <w:rFonts w:ascii="Times New Roman" w:hAnsi="Times New Roman"/>
          <w:caps w:val="false"/>
          <w:smallCaps w:val="false"/>
          <w:sz w:val="20"/>
        </w:rPr>
        <w:t>61</w:t>
      </w:r>
      <w:r>
        <w:rPr>
          <w:rFonts w:ascii="Times New Roman" w:hAnsi="Times New Roman"/>
          <w:caps w:val="false"/>
          <w:smallCaps w:val="false"/>
          <w:sz w:val="20"/>
        </w:rPr>
        <w:t xml:space="preserve"> days’ prior notice from the holder to the Company subject to the terms of the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The holder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 its sole discretion, elect to exercise the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through a cashless exercise or exercise the </w:t>
      </w:r>
      <w:r>
        <w:rPr>
          <w:rStyle w:val="Emphasis"/>
          <w:rFonts w:ascii="Times New Roman" w:hAnsi="Times New Roman"/>
          <w:caps w:val="false"/>
          <w:smallCaps w:val="false"/>
          <w:sz w:val="20"/>
        </w:rPr>
        <w:t>T2</w:t>
      </w:r>
      <w:r>
        <w:rPr>
          <w:rFonts w:ascii="Times New Roman" w:hAnsi="Times New Roman"/>
          <w:caps w:val="false"/>
          <w:smallCaps w:val="false"/>
          <w:sz w:val="20"/>
        </w:rPr>
        <w:t xml:space="preserve"> Warrant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received approximately $93.5 million of net proceeds from the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Public Offering, after deducting underwriting discounts and commissions and estimated offering expenses payable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2"/>
        <w:gridCol w:w="60"/>
        <w:gridCol w:w="9543"/>
      </w:tblGrid>
      <w:tr>
        <w:trPr/>
        <w:tc>
          <w:tcPr>
            <w:tcW w:w="6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5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w:t>
      </w:r>
      <w:r>
        <w:rPr>
          <w:rFonts w:ascii="Times New Roman" w:hAnsi="Times New Roman"/>
          <w:caps w:val="false"/>
          <w:smallCaps w:val="false"/>
          <w:sz w:val="20"/>
        </w:rPr>
        <w:t>“</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domestic and foreign regulatory agencies, our ability to obtain, maintain and enforce patents on our products once approved for marketing, the impact of competitive products, product development, commercialization and technological difficulties, the effect of our accounting policies, and other risks as detailed in the section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this Report.</w:t>
      </w:r>
      <w:r>
        <w:rPr>
          <w:rFonts w:ascii="Times New Roman" w:hAnsi="Times New Roman"/>
          <w:caps w:val="false"/>
          <w:smallCaps w:val="false"/>
          <w:sz w:val="20"/>
        </w:rPr>
        <w:t>  </w:t>
      </w:r>
      <w:r>
        <w:rPr>
          <w:rFonts w:ascii="Times New Roman" w:hAnsi="Times New Roman"/>
          <w:i/>
          <w:caps w:val="false"/>
          <w:smallCaps w:val="false"/>
          <w:sz w:val="20"/>
        </w:rPr>
        <w:t>Further, even if our product candidates appear promising at various stages of development, our share price may decrease such that we are unable to raise additional capital without significant dilution or other terms that may be unacceptable to our management, and Board of Directors (Board) or disadvantageous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Accordingly,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clinical-stage biopharmaceutical company aiming to transform the treatment landscape for individuals living with anxiety, depression and other central nervous system (</w:t>
      </w:r>
      <w:r>
        <w:rPr>
          <w:rFonts w:ascii="Times New Roman" w:hAnsi="Times New Roman"/>
          <w:i/>
          <w:caps w:val="false"/>
          <w:smallCaps w:val="false"/>
          <w:sz w:val="20"/>
        </w:rPr>
        <w:t>CNS</w:t>
      </w:r>
      <w:r>
        <w:rPr>
          <w:rFonts w:ascii="Times New Roman" w:hAnsi="Times New Roman"/>
          <w:caps w:val="false"/>
          <w:smallCaps w:val="false"/>
          <w:sz w:val="20"/>
        </w:rPr>
        <w:t>) disorders. We are advancing therapeutics with the potential to be faster-acting and with fewer side effects and safety concerns than those currently available. Our pipeline includes six product candidates with clinical-stage experience, including five investigational agents belonging to a new class of drugs known as pherines, in addition to AV-101, an oral prodrug candidate of 7-chloro-kynurenic acid (7-CI-KYNA), which is a potent and selective full antagonist (i.e., inhibitor) of the glycine coagonist site of the N-methyl-D-aspartate receptor (</w:t>
      </w:r>
      <w:r>
        <w:rPr>
          <w:rFonts w:ascii="Times New Roman" w:hAnsi="Times New Roman"/>
          <w:i/>
          <w:caps w:val="false"/>
          <w:smallCaps w:val="false"/>
          <w:sz w:val="20"/>
        </w:rPr>
        <w:t>NMDAR</w:t>
      </w:r>
      <w:r>
        <w:rPr>
          <w:rFonts w:ascii="Times New Roman" w:hAnsi="Times New Roman"/>
          <w:caps w:val="false"/>
          <w:smallCaps w:val="false"/>
          <w:sz w:val="20"/>
        </w:rPr>
        <w:t>). Pherines are neuroactive nasal sprays with an innovative mechanism of action (</w:t>
      </w:r>
      <w:r>
        <w:rPr>
          <w:rFonts w:ascii="Times New Roman" w:hAnsi="Times New Roman"/>
          <w:i/>
          <w:caps w:val="false"/>
          <w:smallCaps w:val="false"/>
          <w:sz w:val="20"/>
        </w:rPr>
        <w:t>MOA</w:t>
      </w:r>
      <w:r>
        <w:rPr>
          <w:rFonts w:ascii="Times New Roman" w:hAnsi="Times New Roman"/>
          <w:caps w:val="false"/>
          <w:smallCaps w:val="false"/>
          <w:sz w:val="20"/>
        </w:rPr>
        <w:t>). They activate chemosensory neurons in the nasal cavity which selectively modulate key neural circuits in the brain without requiring systemic absorption or direct activity on neurons in the brain. AV-101 inhibits the activity of the ion channel of the NMDAR but does not block it, unlike approved ion channel-blocking NMDAR antagonists which have significant side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goal is to develop and commercialize, on our own and with strategic partners, a broad range of innovative therapies for neuropsychiatric, neurological and neuroendocrine disorders where current treatment options are inadequate to meet the medical needs of and improve the lives of millions of individuals affected by CNS disorders in numerous pharmaceutical markets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Pherine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Five of our product candidates – fasedienol (PH94B), itruvone (PH10), PH15, PH80 and PH284 – belong to a new class of drug candidates referred to as pherines. Pherines are odorless and tasteless neuroactive nasal sprays with innovative proposed mechanisms of action that are differentiated from current standard of care. When administered in low microgram level doses to selectively engage chemosensory neurons in the nasal cavity, pherines induce rapid-onset pharmacological and behavioral benefits without requiring systemic absorption or direct activity on neurons in the brain. Specifically, each of our pherine product candidates is a distinct chemical entity that selectively modulates, directly or indirectly, particular areas of the brain, such as the limbic amygdala, hypothalamus, hippocampus, locus ceruleus, and/or prefrontal cortex, which we believe are involved with the pathophysiology of multiple different CNS disorders. We believe each of our pherine product candidates has the potential to be a differentiated therapy for one or more CNS disorders, including social anxiety disorder (fasedienol), major depressive disorder (itruvone), cognitive impairment caused by mental fatigue (PH15), vasomotor syndrome (hot flashes) due to menopause, premenstrual dysphoric disorder and migraine headaches (PH80) and wasting syndrome and appetite stimulation (cachexia) (PH284), all without requiring apparent systemic absorption, binding to classic abuse liability receptors or other neurons in the brain or steroidal hormone receptors.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Fasedienol Nasal Spray for Social Anxiety Disorder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Fasedienol (PH94B) is a synthetic investigational pherine nasal spray from the androstane family in Phase 3 clinical development for the acute treatment of anxiety for adults with SAD. When administered intranasally in microgram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absorption or direct activity on neurons in the brain to achieve its rapid-onset and short duration of anxiolytic effects. We believe fasedienol has the potential to achieve these effects with significantly reduced risks of side effects and other safety concerns, such as potential drug-drug interactions, abuse, misuse and addiction, associated with certain other systemic pharmaceuticals that act directly on neurons in the brain and are sometimes prescribed for anxiety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Food and Drug Administration (the </w:t>
      </w:r>
      <w:r>
        <w:rPr>
          <w:rFonts w:ascii="Times New Roman" w:hAnsi="Times New Roman"/>
          <w:i/>
          <w:caps w:val="false"/>
          <w:smallCaps w:val="false"/>
          <w:sz w:val="20"/>
        </w:rPr>
        <w:t>FDA</w:t>
      </w:r>
      <w:r>
        <w:rPr>
          <w:rFonts w:ascii="Times New Roman" w:hAnsi="Times New Roman"/>
          <w:caps w:val="false"/>
          <w:smallCaps w:val="false"/>
          <w:sz w:val="20"/>
        </w:rPr>
        <w:t>) has granted Fast Track designation for the development of fasedienol as a potential treatment for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Fasedienol PALISADE Phase 3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how fasedienol’s rapid-onset MOA is differentiated from all FDA-approved anxiety drugs, our primary target indication for fasedienol is the acute treatment of anxiety in adults with SAD.  Currently, there is no FDA-approved drug therapy for the acute treatment of SAD.  For that acute indication, we have aligned with the FDA that the Subjective Units of Distress Scale (</w:t>
      </w:r>
      <w:r>
        <w:rPr>
          <w:rFonts w:ascii="Times New Roman" w:hAnsi="Times New Roman"/>
          <w:i/>
          <w:caps w:val="false"/>
          <w:smallCaps w:val="false"/>
          <w:sz w:val="20"/>
        </w:rPr>
        <w:t>SUDS</w:t>
      </w:r>
      <w:r>
        <w:rPr>
          <w:rFonts w:ascii="Times New Roman" w:hAnsi="Times New Roman"/>
          <w:caps w:val="false"/>
          <w:smallCaps w:val="false"/>
          <w:sz w:val="20"/>
        </w:rPr>
        <w:t>) is an appropriate primary efficacy endpoint because it provides a measure of anxiety on a minute-by-minute basis immediately related to the specific stressor. We believe utilizing a simulated anxiety-provoking public speaking challenge study design provides the most appropriate and efficient path for the clinical development of fasedienol’s potential to become the first FDA-approved acute treatment of anxiety for adult patients with SAD. Our PALISADE Phase 3 Program currently includes four randomized, double-blind, placebo-controlled, Phase 3 clinical studies designed to evaluate the efficacy, safety, and tolerability of a single dose of fasedienol to relieve anxiety symptoms in adult patients with SAD during a simulated, anxiety-provoking public speaking challenge in a clinical setting, as measured using the patient-reported SUDS, two of which Phase 3 studies (</w:t>
      </w:r>
      <w:r>
        <w:rPr>
          <w:rFonts w:ascii="Times New Roman" w:hAnsi="Times New Roman"/>
          <w:i/>
          <w:caps w:val="false"/>
          <w:smallCaps w:val="false"/>
          <w:sz w:val="20"/>
        </w:rPr>
        <w:t>PALISADE-1 and PALISADE-2</w:t>
      </w:r>
      <w:r>
        <w:rPr>
          <w:rFonts w:ascii="Times New Roman" w:hAnsi="Times New Roman"/>
          <w:caps w:val="false"/>
          <w:smallCaps w:val="false"/>
          <w:sz w:val="20"/>
        </w:rPr>
        <w:t>) were previously concluded and two of which Phase 3 studies (</w:t>
      </w:r>
      <w:r>
        <w:rPr>
          <w:rFonts w:ascii="Times New Roman" w:hAnsi="Times New Roman"/>
          <w:i/>
          <w:caps w:val="false"/>
          <w:smallCaps w:val="false"/>
          <w:sz w:val="20"/>
        </w:rPr>
        <w:t>PALISADE-3 and PALISADE-4</w:t>
      </w:r>
      <w:r>
        <w:rPr>
          <w:rFonts w:ascii="Times New Roman" w:hAnsi="Times New Roman"/>
          <w:caps w:val="false"/>
          <w:smallCaps w:val="false"/>
          <w:sz w:val="20"/>
        </w:rPr>
        <w:t>) will be initiated in 2024, each with open-label extension. Our PALISADE Phase 3 Program also includes an open-label safety study concluded in 2022 (</w:t>
      </w:r>
      <w:r>
        <w:rPr>
          <w:rFonts w:ascii="Times New Roman" w:hAnsi="Times New Roman"/>
          <w:i/>
          <w:caps w:val="false"/>
          <w:smallCaps w:val="false"/>
          <w:sz w:val="20"/>
        </w:rPr>
        <w:t>PALISADE OLS)</w:t>
      </w:r>
      <w:r>
        <w:rPr>
          <w:rFonts w:ascii="Times New Roman" w:hAnsi="Times New Roman"/>
          <w:caps w:val="false"/>
          <w:smallCaps w:val="false"/>
          <w:sz w:val="20"/>
        </w:rPr>
        <w:t>, a repeat dose study to be initiated in 2024 (</w:t>
      </w:r>
      <w:r>
        <w:rPr>
          <w:rFonts w:ascii="Times New Roman" w:hAnsi="Times New Roman"/>
          <w:i/>
          <w:caps w:val="false"/>
          <w:smallCaps w:val="false"/>
          <w:sz w:val="20"/>
        </w:rPr>
        <w:t>PALISADE Repeat Dose Study</w:t>
      </w:r>
      <w:r>
        <w:rPr>
          <w:rFonts w:ascii="Times New Roman" w:hAnsi="Times New Roman"/>
          <w:caps w:val="false"/>
          <w:smallCaps w:val="false"/>
          <w:sz w:val="20"/>
        </w:rPr>
        <w:t>), and a human factor study planned to be initiated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PALISADE-1.</w:t>
      </w:r>
      <w:r>
        <w:rPr>
          <w:rFonts w:ascii="Times New Roman" w:hAnsi="Times New Roman"/>
          <w:caps w:val="false"/>
          <w:smallCaps w:val="false"/>
          <w:sz w:val="20"/>
        </w:rPr>
        <w:t>  In May 2021, we initiated PALISADE-1, which was designed to evaluate the efficacy, safety, and tolerability of the acute administration of fasedienol to relieve anxiety symptoms in adult patients with SAD during a simulated anxiety-provoking public speaking challenge, as measured using the patient-reported SUDS. Enrolled patients had a diagnosis of SAD and demonstrated marked social anxiety at enrollment, as evidenced by a baseline score on the Liebowitz Social Anxiety Scale (</w:t>
      </w:r>
      <w:r>
        <w:rPr>
          <w:rFonts w:ascii="Times New Roman" w:hAnsi="Times New Roman"/>
          <w:i/>
          <w:caps w:val="false"/>
          <w:smallCaps w:val="false"/>
          <w:sz w:val="20"/>
        </w:rPr>
        <w:t>LSAS</w:t>
      </w:r>
      <w:r>
        <w:rPr>
          <w:rFonts w:ascii="Times New Roman" w:hAnsi="Times New Roman"/>
          <w:caps w:val="false"/>
          <w:smallCaps w:val="false"/>
          <w:sz w:val="20"/>
        </w:rPr>
        <w:t>) of at least 70. We announced top-line results from PALISADE-1 in July 2022. Although the safety and tolerability of fasedienol during PALISADE-1 was favorable and consistent with results from previously reported clinical trials, PALISADE-1 did not achieve its primary efficacy endpoint, as measured by change from baseline using the SUDS as compared to placebo. We believe the unexpected outcome in PALISADE-1, which was inconsistent with positive placebo-controlled Phase 2 studies and the statistically significant results of our PALISADE-2 Phase 3 clinical trial discussed below, may have been due to the extraordinary multifaceted impact of the acute phase of the COVID-19 pandemic, which introduced into the typical study dynamic significant and unprecedented logistical challenges and systemic variability.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PALISADE-2.</w:t>
      </w:r>
      <w:r>
        <w:rPr>
          <w:rFonts w:ascii="Times New Roman" w:hAnsi="Times New Roman"/>
          <w:caps w:val="false"/>
          <w:smallCaps w:val="false"/>
          <w:sz w:val="20"/>
        </w:rPr>
        <w:t>   In October 2021, near the end of the acute phase of the COVID-19 pandemic, we initiated PALISADE-2. Like PALISADE-1, PALISADE-2 was a U.S. multi-center, randomized, double-blind, placebo-controlled, Phase 3 clinical study designed to evaluate the efficacy, safety, and tolerability of the acute administration of fasedienol to relieve anxiety symptoms in adult patients with SAD during a simulated anxiety-provoking public speaking challenge, as measured using the patient-reported SUDS. Enrolled patients had a diagnosis of SAD and demonstrated marked social anxiety at enrollment, as evidenced by a baseline score on the LSAS of at least 70. After receiving top-line results from PALISADE-1 in July 2022, we paused ongoing recruitment and enrollment in PALISADE-2 to enable independent third-party biostatisticians to conduct an interim analysis of available data from the 141 subjects who were randomized up to the date it was paused. In September 2022, the independent third-party biostatisticians who conducted the interim analysis recommended that we continue PALISADE-2 as originally planned, without revealing to us any of the underlying data they had reviewed. However, for business reasons, we elected to extend our pause of PALISADE-2 pending our assessment of the then impending top-line results of the PALISADE OLS, the results of two SAD public speaking challenge studies, each with SUDS as the primary efficacy endpoint, being conducted by two peer companies, discussions with the FDA regarding the continuing acceptability of the LSAS as a primary efficacy endpoint in Phase 3 studies for the treatment of SAD, as well as a comprehensive assessment of the expense, time, statistical and regulatory implications and logistical challenges associated with resuming PALISADE-2. Following positive results from our PALISADE OLS, after learning that the two SAD public speaking challenge studies conducted by peer companies did not meet their primary efficacy endpoint as measured by the SUDS, and after positive discussions with the FDA in early 2023 regarding the continuing validity and reliability of the LSAS as a primary efficacy endpoint, for business reasons, we closed PALISADE-2 with 141 completed subjects rather than resume the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early August 2023, we received and reported positive topline results from PALISADE-2 based on the 141 subjects who completed the trial. Our PALISADE-2 Phase 3 trial met its primary efficacy endpoint, the difference in mean SUDS scores during the public speaking challenge at baseline (Visit 2) and treatment (Visit 3) for subjects treated with fasedienol versus placebo at Visit 3.  Fasedienol-treated patients demonstrated a greater mean change from baseline (least-squares (</w:t>
      </w:r>
      <w:r>
        <w:rPr>
          <w:rFonts w:ascii="Times New Roman" w:hAnsi="Times New Roman"/>
          <w:i/>
          <w:caps w:val="false"/>
          <w:smallCaps w:val="false"/>
          <w:sz w:val="20"/>
        </w:rPr>
        <w:t>LS</w:t>
      </w:r>
      <w:r>
        <w:rPr>
          <w:rFonts w:ascii="Times New Roman" w:hAnsi="Times New Roman"/>
          <w:caps w:val="false"/>
          <w:smallCaps w:val="false"/>
          <w:sz w:val="20"/>
        </w:rPr>
        <w:t>)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CGI-I.  Responders were identified as those who were rated ‘very much less anxious’ or ‘much less anxious’ and 37.7% of fasedienol-treated patients were rated as responders, as compared to 21.4% of those treated with placebo (p=0.033). The trial also met the important exploratory endpoint of the difference in the proportion of patient-assessed responders between fasedienol and placebo as measured by the PGI-C. Responders were identified as those who self-rated ‘very much less anxious’ or ‘much less anxious’ and 40.6% of fasedienol-treated patients were rated as responders, as compared to 18.6% of those treated with placebo (p=0.003). In addition, our PALISADE-2 trial also met the exploratory endpoint of the difference in the proportion of patients in each treatment group with a 20-point or greater improvement in patient-assessed SUDS score from baseline (Visit 2) to treatment (Visit 3). Of the fasedienol-treated patients, 35.7% demonstrated this statistically significant and clinically meaningful improvement in SUDS score, as compared to 18.6% in the placebo-treated group (p=0.020). Fasedienol was observed to be well-tolerated with no serious adverse events, and the adverse event (</w:t>
      </w:r>
      <w:r>
        <w:rPr>
          <w:rFonts w:ascii="Times New Roman" w:hAnsi="Times New Roman"/>
          <w:i/>
          <w:caps w:val="false"/>
          <w:smallCaps w:val="false"/>
          <w:sz w:val="20"/>
        </w:rPr>
        <w:t>AE</w:t>
      </w:r>
      <w:r>
        <w:rPr>
          <w:rFonts w:ascii="Times New Roman" w:hAnsi="Times New Roman"/>
          <w:caps w:val="false"/>
          <w:smallCaps w:val="false"/>
          <w:sz w:val="20"/>
        </w:rPr>
        <w:t>) profiles were comparable between fasedienol and placebo. Overall, no TEAEs, except for pyrexia in the placebo group (2.49%), was more prevalent than 2.0%.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 Open-Label Study.</w:t>
      </w:r>
      <w:r>
        <w:rPr>
          <w:rFonts w:ascii="Times New Roman" w:hAnsi="Times New Roman"/>
          <w:caps w:val="false"/>
          <w:smallCaps w:val="false"/>
          <w:sz w:val="20"/>
        </w:rPr>
        <w:t> The PALISADE OLS was a large Phase 3, open-label safety trial conducted in a real-world setting and designed to evaluate the long-term safety and tolerability of multiple, patient-tailored administrations, of fasedienol in adults with SAD when they experienced social and performance stressors in their daily lives. Long-term administration of 3.2 µg of fasedienol, as-needed, up to four times per day, was generally safe and well-tolerated, with no new safety findings or trends identified, regardless of the number of doses administered by each subject (safety population: n=481). Headache was the most common treatment-emergent adverse event (</w:t>
      </w:r>
      <w:r>
        <w:rPr>
          <w:rFonts w:ascii="Times New Roman" w:hAnsi="Times New Roman"/>
          <w:i/>
          <w:caps w:val="false"/>
          <w:smallCaps w:val="false"/>
          <w:sz w:val="20"/>
        </w:rPr>
        <w:t>TEAE</w:t>
      </w:r>
      <w:r>
        <w:rPr>
          <w:rFonts w:ascii="Times New Roman" w:hAnsi="Times New Roman"/>
          <w:caps w:val="false"/>
          <w:smallCaps w:val="false"/>
          <w:sz w:val="20"/>
        </w:rPr>
        <w:t>) (17.0%; 8.7% drug-related); no other TEAE occurred in more than 5.0% of subjects, except for COVID-19 TEAEs (11.4%), which were not considered related to fasedienol. Over 30,000 doses of fasedienol were administered by patients during this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PALISADE-3 and PALISADE-4. </w:t>
      </w:r>
      <w:r>
        <w:rPr>
          <w:rFonts w:ascii="Times New Roman" w:hAnsi="Times New Roman"/>
          <w:caps w:val="false"/>
          <w:smallCaps w:val="false"/>
          <w:sz w:val="20"/>
        </w:rPr>
        <w:t>To complement the positive topline results from PALISADE-2, we are preparing to launch two similar Phase 3 clinical trials in 2024, PALISADE-3 in the first half of 2024 and PALISADE-4 in the second half of 2024. Like PALISADE-2, both PALISADE-3 and PALISADE-4 will be multi-center, randomized, double-blind, placebo-controlled, Phase 3 clinical trials designed to evaluate the efficacy, safety, and tolerability of the acute administration of fasedienol to relieve anxiety symptoms in adult patients with SAD after a single dose of fasedienol during a simulated, anxiety-provoking public speaking challenge in a clinical setting, as measured using the patient-reported SUDS as the primary efficacy endpoint. Also, both PALISADE-3 and PALISADE-4 will have an open-label extension for a period of up to 12-months. If successful, we believe either PALISADE-3 or PALISADE-4, together with PALISADE-2, may establish substantial evidence of effectiveness of fasedienol in support of a potential fasedienol NDA submission for the acute treatment of anxiety in adults with SAD with the FDA in the first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PALISADE Repeat Dose Study.</w:t>
      </w:r>
      <w:r>
        <w:rPr>
          <w:rFonts w:ascii="Times New Roman" w:hAnsi="Times New Roman"/>
          <w:caps w:val="false"/>
          <w:smallCaps w:val="false"/>
          <w:sz w:val="20"/>
        </w:rPr>
        <w:t>  We are also planning to initiate a PALISADE repeat dose clinical trial (</w:t>
      </w:r>
      <w:r>
        <w:rPr>
          <w:rFonts w:ascii="Times New Roman" w:hAnsi="Times New Roman"/>
          <w:i/>
          <w:caps w:val="false"/>
          <w:smallCaps w:val="false"/>
          <w:sz w:val="20"/>
        </w:rPr>
        <w:t>PALISADE Repeat Dose Study</w:t>
      </w:r>
      <w:r>
        <w:rPr>
          <w:rFonts w:ascii="Times New Roman" w:hAnsi="Times New Roman"/>
          <w:caps w:val="false"/>
          <w:smallCaps w:val="false"/>
          <w:sz w:val="20"/>
        </w:rPr>
        <w:t>) in the second half of 2024.  PALISADE Repeat Dose Study will be a multi-center, randomized, double-blind, placebo-controlled, clinical trial designed to evaluate repeated dosing of fasedienol in adult patients with SAD during a single simulated, anxiety-provoking public speaking challenge in a clinical setting. The PALISADE Repeat Dose Study trial will consist of three different dosing arms, with an open-label extension for a period of up to 12-months.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potential future expansion of our PALISADE Phase 3 program for fasedienol in SAD, we may conduct additional clinical trials of fasedienol in adult and/or pediatric populations in a real-world setting over a multiple week period, with the LSAS for adult subjects or the LSAS-CA, which is the version of the LSAS we believe is suitable for use with subjects who are children or adolescents, as the primary efficacy endpoint.  If conducted, these studies will be part of our potential future FEARLESS program for fasedienol and will be designed to build on results from a previous randomized, double-blind, placebo-controlled, Phase 2 real-world crossover study of fasedienol in SAD and exploratory efficacy observations measured by the LSAS in a large cohort of subjects in our PALISADE 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Initiation of all planned clinical trials of fasedienol remains subject to FDA feedback of our proposed study designs.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Itruvone Nasal Spray for Major Depressive Disorder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Itruvone (PH10) is an odorless, tasteless synthetic investigational neuroactive pherine nasal spray from the pregnane family with an innovative potential MOA that is fundamentally differentiated from the MOA of all currently approved treatments for depression disorders. Itruvone neuroactive nasal spray is administered at microgram-level doses and is designed to engage and activate chemosensory neurons in the nasal cavity, which are connected to neural circuits in the brain that produce antidepressant effects. Unlike all currently approved oral antidepressants (</w:t>
      </w:r>
      <w:r>
        <w:rPr>
          <w:rFonts w:ascii="Times New Roman" w:hAnsi="Times New Roman"/>
          <w:i/>
          <w:caps w:val="false"/>
          <w:smallCaps w:val="false"/>
          <w:sz w:val="20"/>
        </w:rPr>
        <w:t>ADs</w:t>
      </w:r>
      <w:r>
        <w:rPr>
          <w:rFonts w:ascii="Times New Roman" w:hAnsi="Times New Roman"/>
          <w:caps w:val="false"/>
          <w:smallCaps w:val="false"/>
          <w:sz w:val="20"/>
        </w:rPr>
        <w:t>) and rapid-onset ketamine-based therapy, we believe itruvone does not require systemic absorption or direct activity on neurons in the brain to produce antidepressant effects without the side effects and safety concerns that may be associated with current antidepressants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2023, we completed a small U.S. single-center, randomized, double-blinded, placebo-controlled Phase 1 clinical trial to investigate the safety and tolerability of itruvone in healthy adult subjects. The trial was designed to confirm the favorable safety profile of itruvone established in three previous clinical trials conducted in Mexico, including a positive randomized, double-blind, placebo-controlled Phase 2A study of itruvone in MDD, and facilitate potential Phase 2B clinical development of itruvone, in the U.S., by us or by a strategic development and commercialization partner, as a fast-acting monotherapy for MDD. Positive data from this Phase 1 trial demonstrated that there were no reported treatment-related serious adverse events (</w:t>
      </w:r>
      <w:r>
        <w:rPr>
          <w:rFonts w:ascii="Times New Roman" w:hAnsi="Times New Roman"/>
          <w:i/>
          <w:caps w:val="false"/>
          <w:smallCaps w:val="false"/>
          <w:sz w:val="20"/>
        </w:rPr>
        <w:t>SAEs</w:t>
      </w:r>
      <w:r>
        <w:rPr>
          <w:rFonts w:ascii="Times New Roman" w:hAnsi="Times New Roman"/>
          <w:caps w:val="false"/>
          <w:smallCaps w:val="false"/>
          <w:sz w:val="20"/>
        </w:rPr>
        <w:t>) or discontinuations due to adverse events in the trial. Overall, itruvone was well-tolerated and continued to demonstrate a favorable safety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granted Fast Track designation for the development of itruvone as a potential treatment for MDD.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PH80 Nasal Spray for Women</w:t>
      </w:r>
      <w:r>
        <w:rPr>
          <w:rFonts w:ascii="Times New Roman" w:hAnsi="Times New Roman"/>
          <w:caps w:val="false"/>
          <w:smallCaps w:val="false"/>
          <w:sz w:val="20"/>
        </w:rPr>
        <w:t>’</w:t>
      </w:r>
      <w:r>
        <w:rPr>
          <w:rFonts w:ascii="Times New Roman" w:hAnsi="Times New Roman"/>
          <w:b/>
          <w:i/>
          <w:caps w:val="false"/>
          <w:smallCaps w:val="false"/>
          <w:sz w:val="20"/>
        </w:rPr>
        <w:t>s Health Disorders and Migraine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PH80 is an odorless, tasteless synthetic investigational pherine nasal spray with a novel, rapid-onset potential MOA that is fundamentally differentiated from the MOA of all currently approved treatments for vasomotor symptoms (hot flashes) due to menopause, premenstrual dysphoric disorder (</w:t>
      </w:r>
      <w:r>
        <w:rPr>
          <w:rFonts w:ascii="Times New Roman" w:hAnsi="Times New Roman"/>
          <w:i/>
          <w:caps w:val="false"/>
          <w:smallCaps w:val="false"/>
          <w:sz w:val="20"/>
        </w:rPr>
        <w:t>PMDD</w:t>
      </w:r>
      <w:r>
        <w:rPr>
          <w:rFonts w:ascii="Times New Roman" w:hAnsi="Times New Roman"/>
          <w:caps w:val="false"/>
          <w:smallCaps w:val="false"/>
          <w:sz w:val="20"/>
        </w:rPr>
        <w:t>), and other women’s health disorders and migraine headaches. PH80 activates chemosensory neurons in the nasal cavity connected to neural circuits that modulate the basal forebrain associated with the control of body temperature. Positive results from a previously unpublished exploratory randomized, double-blind, placebo-controlled Phase 2A study of PH80 for the acute treatment of vasomotor symptoms (hot flashes) due to menopause.  The Phase 2A study demonstrated a statistically significant reduction in the daily number of menopausal hot flashes compared to placebo at the end of the first week of treatment (p&lt;.001), and the improvement was maintained through each treatment week until the end of the four-week treatment period. We are preparing to conduct studies necessary to submit a U.S. IND for Phase 2B clinical development of PH80 in the U.S. for the treatment of patients with moderate to severe vasomotor symptoms (hot flashes) due to menopause.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recently reported positive results from a previously unreported randomized, double-blind, placebo-controlled Phase 2A clinical study of PH80 in an exploratory Phase 2A study for acute management of the symptoms of PMDD, including negative mood and physical and behavioral symptoms, in subjects with a regular menstrual cycle and at least a one-year history of PMDD. This Phase 2A study demonstrated a statistically significant improvement versus placebo in acute management of the symptoms of PMDD, including negative mood and physical and behavioral symptoms. The initial study visit occurred after the onset of symptoms. All subjects were administered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w:t>
      </w:r>
      <w:r>
        <w:rPr>
          <w:rFonts w:ascii="Times New Roman" w:hAnsi="Times New Roman"/>
          <w:i/>
          <w:caps w:val="false"/>
          <w:smallCaps w:val="false"/>
          <w:sz w:val="20"/>
        </w:rPr>
        <w:t>DSR</w:t>
      </w:r>
      <w:r>
        <w:rPr>
          <w:rFonts w:ascii="Times New Roman" w:hAnsi="Times New Roman"/>
          <w:caps w:val="false"/>
          <w:smallCaps w:val="false"/>
          <w:sz w:val="20"/>
        </w:rPr>
        <w:t>) as early as day four and continuing to day six. PH80 was well-tolerated with no SAEs. The most common SAE was headache, reported by 17% in the placebo group and 7% in the PH80 group. No other treatment-emergent SAE occurred more than once per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PH80 initiates neural impulses in the olfactory bulb transmitted by pathways that affect the function of multiple structures in the brain, including the amygdala and hypothalamus, that have been linked to the pathology of migraine.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PH15 Nasal Spray for Cognitive and Psychomotor Performance and Improvement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PH15 is an odorless, tasteless synthetic investigational pherine nasal spray with a novel, rapid-onset potential MOA that is fundamentally differentiated from the MOA of all currently approved treatments to improve cognitive impairment caused by mental fatigue and potentially other disorders. We believe intranasal PH15 has the potential to improve cognitive and psychomotor performance and improvement of reaction time in individuals with mental fatigue. We are currently evaluating the path forward for PH15, including an assessment of studies we believe will be necessary to submit a U.S. IND for further Phase 2 clinical development of PH15 in the U.S., on our own or with collaborators, including the appropriate indication for demonstrating improvement of cognitive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PH284 Nasal Spray for Cachexia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PH284 is an odorless, tasteless synthetic investigational pherine nasal spray with a novel, rapid-onset potential MOA that is fundamentally differentiated from the MOA of all currently approved treatments for the loss of appetite associated with chronic disorders such as cancer. Cachexia is a serious but under-recognized consequence of many chronic diseases with body mass loss of &gt;10% and a prevalence of 5 to 15 %. We believe PH284 may have therapeutic potential for improving subjective feelings of hunger in patients with cachexia.  We are currently evaluating the path forward for PH284, including planning for studies we believe will be necessary to submit a U.S. IND for further Phase 2 clinical development of PH15 for the treatment of cachexia, on our own or with collaborators, including the appropriate patient populations for demonstrating an increase in appetite and weight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Initiation of all planned clinical trials of fasedienol remains subject to FDA feedback of our proposed study designs.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October 2023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October 2, 2023, we entered into an underwriting agreement (the </w:t>
      </w:r>
      <w:r>
        <w:rPr>
          <w:rFonts w:ascii="Times New Roman" w:hAnsi="Times New Roman"/>
          <w:i/>
          <w:caps w:val="false"/>
          <w:smallCaps w:val="false"/>
          <w:sz w:val="20"/>
        </w:rPr>
        <w:t>Underwriting Agreement</w:t>
      </w:r>
      <w:r>
        <w:rPr>
          <w:rFonts w:ascii="Times New Roman" w:hAnsi="Times New Roman"/>
          <w:caps w:val="false"/>
          <w:smallCaps w:val="false"/>
          <w:sz w:val="20"/>
        </w:rPr>
        <w:t xml:space="preserve">) with Jefferies LLC, Stifel, Nicolaus &amp; Company, Incorporated, and William Blair &amp; Company, L.L.C., as the representatives of the underwriters identified therein (the </w:t>
      </w:r>
      <w:r>
        <w:rPr>
          <w:rFonts w:ascii="Times New Roman" w:hAnsi="Times New Roman"/>
          <w:i/>
          <w:caps w:val="false"/>
          <w:smallCaps w:val="false"/>
          <w:sz w:val="20"/>
        </w:rPr>
        <w:t>Underwriters</w:t>
      </w:r>
      <w:r>
        <w:rPr>
          <w:rFonts w:ascii="Times New Roman" w:hAnsi="Times New Roman"/>
          <w:caps w:val="false"/>
          <w:smallCaps w:val="false"/>
          <w:sz w:val="20"/>
        </w:rPr>
        <w:t xml:space="preserve">), in connection with the underwritten offering, issuance and sale by the Company of 15,010,810 shares of our common stock, pre-funded warrants to purchase up to 3,577,240 shares of common stock (the </w:t>
      </w:r>
      <w:r>
        <w:rPr>
          <w:rFonts w:ascii="Times New Roman" w:hAnsi="Times New Roman"/>
          <w:i/>
          <w:caps w:val="false"/>
          <w:smallCaps w:val="false"/>
          <w:sz w:val="20"/>
        </w:rPr>
        <w:t>Pre-Funded Warrants</w:t>
      </w:r>
      <w:r>
        <w:rPr>
          <w:rFonts w:ascii="Times New Roman" w:hAnsi="Times New Roman"/>
          <w:caps w:val="false"/>
          <w:smallCaps w:val="false"/>
          <w:sz w:val="20"/>
        </w:rPr>
        <w:t xml:space="preserve">), warrants to purchase up to 9,294,022 shares of common stock (or pre-funded warrants to purchase up to 9,294,022 shares of common stock in lieu thereof) (the </w:t>
      </w:r>
      <w:r>
        <w:rPr>
          <w:rFonts w:ascii="Times New Roman" w:hAnsi="Times New Roman"/>
          <w:i/>
          <w:caps w:val="false"/>
          <w:smallCaps w:val="false"/>
          <w:sz w:val="20"/>
        </w:rPr>
        <w:t>T1 Warrants</w:t>
      </w:r>
      <w:r>
        <w:rPr>
          <w:rFonts w:ascii="Times New Roman" w:hAnsi="Times New Roman"/>
          <w:caps w:val="false"/>
          <w:smallCaps w:val="false"/>
          <w:sz w:val="20"/>
        </w:rPr>
        <w:t xml:space="preserve">) and warrants to purchase 11,265,086 shares of common stock (or pre-funded warrants to purchase up to 11,265,086 shares of common stock in lieu thereof) (the </w:t>
      </w:r>
      <w:r>
        <w:rPr>
          <w:rFonts w:ascii="Times New Roman" w:hAnsi="Times New Roman"/>
          <w:i/>
          <w:caps w:val="false"/>
          <w:smallCaps w:val="false"/>
          <w:sz w:val="20"/>
        </w:rPr>
        <w:t>T2 Warrants</w:t>
      </w:r>
      <w:r>
        <w:rPr>
          <w:rFonts w:ascii="Times New Roman" w:hAnsi="Times New Roman"/>
          <w:caps w:val="false"/>
          <w:smallCaps w:val="false"/>
          <w:sz w:val="20"/>
        </w:rPr>
        <w:t xml:space="preserve">). The combined offering price for each share of common stock, accompanying T1 Warrant and accompanying T2 Warrant was $5.38. The combined offering price per Pre-Funded Warrant, accompanying T1 Warrant and accompanying T2 Warrant was $5.379. The securities were issued pursuant to the Company’s effective shelf registration statement on Form S-3 (File No. 333-254299) (the </w:t>
      </w:r>
      <w:r>
        <w:rPr>
          <w:rFonts w:ascii="Times New Roman" w:hAnsi="Times New Roman"/>
          <w:i/>
          <w:caps w:val="false"/>
          <w:smallCaps w:val="false"/>
          <w:sz w:val="20"/>
        </w:rPr>
        <w:t>S-3 Shelf Registration Statement</w:t>
      </w:r>
      <w:r>
        <w:rPr>
          <w:rFonts w:ascii="Times New Roman" w:hAnsi="Times New Roman"/>
          <w:caps w:val="false"/>
          <w:smallCaps w:val="false"/>
          <w:sz w:val="20"/>
        </w:rPr>
        <w:t xml:space="preserve">) and a related prospectus supplement filed with the Securities and Exchange Commission (the </w:t>
      </w:r>
      <w:r>
        <w:rPr>
          <w:rFonts w:ascii="Times New Roman" w:hAnsi="Times New Roman"/>
          <w:i/>
          <w:caps w:val="false"/>
          <w:smallCaps w:val="false"/>
          <w:sz w:val="20"/>
        </w:rPr>
        <w:t>October 2023 Public Offering</w:t>
      </w:r>
      <w:r>
        <w:rPr>
          <w:rFonts w:ascii="Times New Roman" w:hAnsi="Times New Roman"/>
          <w:caps w:val="false"/>
          <w:smallCaps w:val="false"/>
          <w:sz w:val="20"/>
        </w:rPr>
        <w:t xml:space="preserve">). The October 2023 Public Offering closed on October 4, 2023, at which time we received net proceeds of approximately $93.5 million, after deducting underwriting discounts and commissions and estimated offering expenses payable by the Company. Refer to Note 10, </w:t>
      </w:r>
      <w:r>
        <w:rPr>
          <w:rFonts w:ascii="Times New Roman" w:hAnsi="Times New Roman"/>
          <w:i/>
          <w:caps w:val="false"/>
          <w:smallCaps w:val="false"/>
          <w:sz w:val="20"/>
        </w:rPr>
        <w:t>Subsequent Events</w:t>
      </w:r>
      <w:r>
        <w:rPr>
          <w:rFonts w:ascii="Times New Roman" w:hAnsi="Times New Roman"/>
          <w:caps w:val="false"/>
          <w:smallCaps w:val="false"/>
          <w:sz w:val="20"/>
        </w:rPr>
        <w:t>, for additional information regarding the securities offered, issued and sold in connection with the October 2023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ATM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Between June 30, 2023 and September 14, 2023, we sold an aggregate of 4,137,077 shares of our common stock under the Open Market Sale Agreement SM (</w:t>
      </w:r>
      <w:r>
        <w:rPr>
          <w:rFonts w:ascii="Times New Roman" w:hAnsi="Times New Roman"/>
          <w:i/>
          <w:caps w:val="false"/>
          <w:smallCaps w:val="false"/>
          <w:sz w:val="20"/>
        </w:rPr>
        <w:t>Sales Agreement</w:t>
      </w:r>
      <w:r>
        <w:rPr>
          <w:rFonts w:ascii="Times New Roman" w:hAnsi="Times New Roman"/>
          <w:caps w:val="false"/>
          <w:smallCaps w:val="false"/>
          <w:sz w:val="20"/>
        </w:rPr>
        <w:t>) for an at-the-market offering (</w:t>
      </w:r>
      <w:r>
        <w:rPr>
          <w:rFonts w:ascii="Times New Roman" w:hAnsi="Times New Roman"/>
          <w:i/>
          <w:caps w:val="false"/>
          <w:smallCaps w:val="false"/>
          <w:sz w:val="20"/>
        </w:rPr>
        <w:t>ATM</w:t>
      </w:r>
      <w:r>
        <w:rPr>
          <w:rFonts w:ascii="Times New Roman" w:hAnsi="Times New Roman"/>
          <w:caps w:val="false"/>
          <w:smallCaps w:val="false"/>
          <w:sz w:val="20"/>
        </w:rPr>
        <w:t>) program with Jefferies LLC (</w:t>
      </w:r>
      <w:r>
        <w:rPr>
          <w:rFonts w:ascii="Times New Roman" w:hAnsi="Times New Roman"/>
          <w:i/>
          <w:caps w:val="false"/>
          <w:smallCaps w:val="false"/>
          <w:sz w:val="20"/>
        </w:rPr>
        <w:t>Jefferies</w:t>
      </w:r>
      <w:r>
        <w:rPr>
          <w:rFonts w:ascii="Times New Roman" w:hAnsi="Times New Roman"/>
          <w:caps w:val="false"/>
          <w:smallCaps w:val="false"/>
          <w:sz w:val="20"/>
        </w:rPr>
        <w:t>) for aggregate net cash proceeds of approximately $35.1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Negotiation Agreement with Fuji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September 1, 2023, we entered into an Exclusive Negotiation Agreement (the </w:t>
      </w:r>
      <w:r>
        <w:rPr>
          <w:rFonts w:ascii="Times New Roman" w:hAnsi="Times New Roman"/>
          <w:i/>
          <w:caps w:val="false"/>
          <w:smallCaps w:val="false"/>
          <w:sz w:val="20"/>
        </w:rPr>
        <w:t>Negotiation</w:t>
      </w:r>
      <w:r>
        <w:rPr>
          <w:rFonts w:ascii="Times New Roman" w:hAnsi="Times New Roman"/>
          <w:caps w:val="false"/>
          <w:smallCaps w:val="false"/>
          <w:sz w:val="20"/>
        </w:rPr>
        <w:t> </w:t>
      </w:r>
      <w:r>
        <w:rPr>
          <w:rFonts w:ascii="Times New Roman" w:hAnsi="Times New Roman"/>
          <w:i/>
          <w:caps w:val="false"/>
          <w:smallCaps w:val="false"/>
          <w:sz w:val="20"/>
        </w:rPr>
        <w:t>Agreement</w:t>
      </w:r>
      <w:r>
        <w:rPr>
          <w:rFonts w:ascii="Times New Roman" w:hAnsi="Times New Roman"/>
          <w:caps w:val="false"/>
          <w:smallCaps w:val="false"/>
          <w:sz w:val="20"/>
        </w:rPr>
        <w:t>) with Fuji Pharma Co., Ltd. (</w:t>
      </w:r>
      <w:r>
        <w:rPr>
          <w:rFonts w:ascii="Times New Roman" w:hAnsi="Times New Roman"/>
          <w:i/>
          <w:caps w:val="false"/>
          <w:smallCaps w:val="false"/>
          <w:sz w:val="20"/>
        </w:rPr>
        <w:t>Fuji Pharma</w:t>
      </w:r>
      <w:r>
        <w:rPr>
          <w:rFonts w:ascii="Times New Roman" w:hAnsi="Times New Roman"/>
          <w:caps w:val="false"/>
          <w:smallCaps w:val="false"/>
          <w:sz w:val="20"/>
        </w:rPr>
        <w:t>), a Tokyo Stock Exchange listed, Japan-based pharmaceutical company. Pursuant to the terms and conditions of the Negotiation Agreement, we agreed, for a limited period of time (described below), to negotiate exclusively with Fuji Pharma a potential license to develop and commercialize PH80, our pherine product candidate in Japan, including for the acute treatment of moderate to severe vasomotor symptoms (hot flashes) due to menopause and potentially other indications. The Negotiation Agreement provides for a term of the later to occur of (i) fourteen (14) months beginning on the date of receipt of the Purchase Price (defined below) by the Company or (ii) ninety (90) days from the date that the U.S. Food and Drug Administration accepts an Investigational New Drug application for PH80 for the treatment of vasomotor symptoms (hot flashes) due to menopause (</w:t>
      </w:r>
      <w:r>
        <w:rPr>
          <w:rFonts w:ascii="Times New Roman" w:hAnsi="Times New Roman"/>
          <w:i/>
          <w:caps w:val="false"/>
          <w:smallCaps w:val="false"/>
          <w:sz w:val="20"/>
        </w:rPr>
        <w:t>Exclusive Negotiation Period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consideration for the Exclusive Negotiation Period provided by the Company to Fuji Pharma under the Negotiation Agreement, Fuji Pharma agreed to make a payment of $1.5 million (</w:t>
      </w:r>
      <w:r>
        <w:rPr>
          <w:rFonts w:ascii="Times New Roman" w:hAnsi="Times New Roman"/>
          <w:i/>
          <w:caps w:val="false"/>
          <w:smallCaps w:val="false"/>
          <w:sz w:val="20"/>
        </w:rPr>
        <w:t>Purchase</w:t>
      </w:r>
      <w:r>
        <w:rPr>
          <w:rFonts w:ascii="Times New Roman" w:hAnsi="Times New Roman"/>
          <w:caps w:val="false"/>
          <w:smallCaps w:val="false"/>
          <w:sz w:val="20"/>
        </w:rPr>
        <w:t> </w:t>
      </w:r>
      <w:r>
        <w:rPr>
          <w:rFonts w:ascii="Times New Roman" w:hAnsi="Times New Roman"/>
          <w:i/>
          <w:caps w:val="false"/>
          <w:smallCaps w:val="false"/>
          <w:sz w:val="20"/>
        </w:rPr>
        <w:t>Price</w:t>
      </w:r>
      <w:r>
        <w:rPr>
          <w:rFonts w:ascii="Times New Roman" w:hAnsi="Times New Roman"/>
          <w:caps w:val="false"/>
          <w:smallCaps w:val="false"/>
          <w:sz w:val="20"/>
        </w:rPr>
        <w:t xml:space="preserve">), we received the Purchase Price in full in November 2023. The Purchase Price is not refundable, except upon a material breach of the Negotiation Agreement by the Company. Should the Company and Fuji Pharma enter into a definitive license agreement during the Exclusive Negotiation Period for the development and commercialization of PH80 in Japan (a </w:t>
      </w:r>
      <w:r>
        <w:rPr>
          <w:rFonts w:ascii="Times New Roman" w:hAnsi="Times New Roman"/>
          <w:i/>
          <w:caps w:val="false"/>
          <w:smallCaps w:val="false"/>
          <w:sz w:val="20"/>
        </w:rPr>
        <w:t>Potential Definitive Agreement</w:t>
      </w:r>
      <w:r>
        <w:rPr>
          <w:rFonts w:ascii="Times New Roman" w:hAnsi="Times New Roman"/>
          <w:caps w:val="false"/>
          <w:smallCaps w:val="false"/>
          <w:sz w:val="20"/>
        </w:rPr>
        <w:t>), the Purchase Price will be credited against the fee paid by Fuji Pharma to the Company in connection with the execution of such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wholly-owned subsidiaries consist of Pherin Pharmaceuticals, Inc, a Delaware corporation (</w:t>
      </w:r>
      <w:r>
        <w:rPr>
          <w:rFonts w:ascii="Times New Roman" w:hAnsi="Times New Roman"/>
          <w:i/>
          <w:caps w:val="false"/>
          <w:smallCaps w:val="false"/>
          <w:sz w:val="20"/>
        </w:rPr>
        <w:t>Pherin</w:t>
      </w:r>
      <w:r>
        <w:rPr>
          <w:rFonts w:ascii="Times New Roman" w:hAnsi="Times New Roman"/>
          <w:caps w:val="false"/>
          <w:smallCaps w:val="false"/>
          <w:sz w:val="20"/>
        </w:rPr>
        <w:t>), and Vistastem, Inc., a California corporation founded in 1998 (</w:t>
      </w:r>
      <w:r>
        <w:rPr>
          <w:rFonts w:ascii="Times New Roman" w:hAnsi="Times New Roman"/>
          <w:i/>
          <w:caps w:val="false"/>
          <w:smallCaps w:val="false"/>
          <w:sz w:val="20"/>
        </w:rPr>
        <w:t>Vistastem</w:t>
      </w:r>
      <w:r>
        <w:rPr>
          <w:rFonts w:ascii="Times New Roman" w:hAnsi="Times New Roman"/>
          <w:caps w:val="false"/>
          <w:smallCaps w:val="false"/>
          <w:sz w:val="20"/>
        </w:rPr>
        <w:t>). For the relevant periods, our condensed consolidated financial statements in this Report also include the accounts of Vistastem’s two wholly owned inactive subsidiaries, Artemis Neuroscience, Inc., a Maryland corporation (</w:t>
      </w:r>
      <w:r>
        <w:rPr>
          <w:rFonts w:ascii="Times New Roman" w:hAnsi="Times New Roman"/>
          <w:i/>
          <w:caps w:val="false"/>
          <w:smallCaps w:val="false"/>
          <w:sz w:val="20"/>
        </w:rPr>
        <w:t>Artemis</w:t>
      </w:r>
      <w:r>
        <w:rPr>
          <w:rFonts w:ascii="Times New Roman" w:hAnsi="Times New Roman"/>
          <w:caps w:val="false"/>
          <w:smallCaps w:val="false"/>
          <w:sz w:val="20"/>
        </w:rPr>
        <w:t>), which was dissolved in April 2022, and VistaStem Canada, Inc., a corporation organized under the laws of Ontario, Canada (</w:t>
      </w:r>
      <w:r>
        <w:rPr>
          <w:rFonts w:ascii="Times New Roman" w:hAnsi="Times New Roman"/>
          <w:i/>
          <w:caps w:val="false"/>
          <w:smallCaps w:val="false"/>
          <w:sz w:val="20"/>
        </w:rPr>
        <w:t>VistaStem Canada</w:t>
      </w:r>
      <w:r>
        <w:rPr>
          <w:rFonts w:ascii="Times New Roman" w:hAnsi="Times New Roman"/>
          <w:caps w:val="false"/>
          <w:smallCaps w:val="false"/>
          <w:sz w:val="20"/>
        </w:rPr>
        <w:t>), which was dissolved in June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Operations Overview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critical accounting policies are disclosed in our Annual Report on Form 10-K for the fiscal year ended March 31, 2023 (</w:t>
      </w:r>
      <w:r>
        <w:rPr>
          <w:rFonts w:ascii="Times New Roman" w:hAnsi="Times New Roman"/>
          <w:i/>
          <w:caps w:val="false"/>
          <w:smallCaps w:val="false"/>
          <w:sz w:val="20"/>
        </w:rPr>
        <w:t>Form 10-K</w:t>
      </w:r>
      <w:r>
        <w:rPr>
          <w:rFonts w:ascii="Times New Roman" w:hAnsi="Times New Roman"/>
          <w:caps w:val="false"/>
          <w:smallCaps w:val="false"/>
          <w:sz w:val="20"/>
        </w:rPr>
        <w:t>), as filed with the SEC on June 28, 2023. There have been no changes in significant accounting estimates during the six months ended September 30, 2023 since those disclosed in our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Summary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Net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inception, we have devoted substantial resources to advance initiatives related to research, development, and contract manufacturing of our intranasal investigational pherine product candidates, fasedienol and itruvone, including initiatives related to manufacturing processes, analytical methods and production programs for drug substance and finished drug product, as well as for preclinical studies and clinical studies focused on potential commercialization of these product candidates for neuropsychiatry indications. Throughout Fiscal 2022 and Fiscal 2023, we allocated significant resources to our PALISADE-1 and PALISADE-2 clinical trials conducted as a part of our PALISADE Phase 3 Program evaluating fasedienol for the acute treatment of anxiety in adults with SAD. In the first two quarters of our fiscal year ending March 31, 2024, (</w:t>
      </w:r>
      <w:r>
        <w:rPr>
          <w:rFonts w:ascii="Times New Roman" w:hAnsi="Times New Roman"/>
          <w:i/>
          <w:caps w:val="false"/>
          <w:smallCaps w:val="false"/>
          <w:sz w:val="20"/>
        </w:rPr>
        <w:t>Fiscal 2024</w:t>
      </w:r>
      <w:r>
        <w:rPr>
          <w:rFonts w:ascii="Times New Roman" w:hAnsi="Times New Roman"/>
          <w:caps w:val="false"/>
          <w:smallCaps w:val="false"/>
          <w:sz w:val="20"/>
        </w:rPr>
        <w:t>) we have continued to focus our efforts on fasedienol and preparing to launch the next Phase 3 clinical trials in our PALISADE Phase 3 Program for fasedienol. In addition, we are continuing to conduct various preclinical and clinical studies and manufacturing activities for other product candidates. We have on-going initiatives for creating, protecting and patenting intellectual property (</w:t>
      </w:r>
      <w:r>
        <w:rPr>
          <w:rFonts w:ascii="Times New Roman" w:hAnsi="Times New Roman"/>
          <w:i/>
          <w:caps w:val="false"/>
          <w:smallCaps w:val="false"/>
          <w:sz w:val="20"/>
        </w:rPr>
        <w:t>IP</w:t>
      </w:r>
      <w:r>
        <w:rPr>
          <w:rFonts w:ascii="Times New Roman" w:hAnsi="Times New Roman"/>
          <w:caps w:val="false"/>
          <w:smallCaps w:val="false"/>
          <w:sz w:val="20"/>
        </w:rPr>
        <w:t>) related to our product candidates and technologies and raising sufficient working capital to fund these studies, initiatives and other activities. At September 30, 2023, we had an accumulated deficit of approximately $340.3 million. Our net loss for Fiscal 2023 and Fiscal 2022 was approximately $59.2 million and $47.8 million, respectively, and we incurred a net loss of approximately $13.5 million for the six months ended September 30, 2023. We expect losses to continue for the foreseeable future as we engage in further research, development and regulatory activities related to fasedienol, itruvone and AV-101 and, potentially, the new multiple pherines we acquired as a result of our acquisition of Pherin  in February 2023. We have not yet achieved recurring revenue-generating status from any of our product candidates or technologies in amounts sufficient to sustain our operations and enable our strategic business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results of our operations for the three and six months ended September 30, 2023 and 2022 (amounts in thousands).</w:t>
      </w:r>
    </w:p>
    <w:p>
      <w:pPr>
        <w:pStyle w:val="TextBody"/>
        <w:bidi w:val="0"/>
        <w:spacing w:before="0" w:after="0"/>
        <w:ind w:left="0" w:right="0" w:hanging="0"/>
        <w:jc w:val="left"/>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2210"/>
        <w:gridCol w:w="60"/>
        <w:gridCol w:w="242"/>
        <w:gridCol w:w="1059"/>
        <w:gridCol w:w="155"/>
        <w:gridCol w:w="116"/>
        <w:gridCol w:w="242"/>
        <w:gridCol w:w="1263"/>
        <w:gridCol w:w="80"/>
        <w:gridCol w:w="60"/>
        <w:gridCol w:w="210"/>
        <w:gridCol w:w="1092"/>
        <w:gridCol w:w="134"/>
        <w:gridCol w:w="100"/>
        <w:gridCol w:w="210"/>
        <w:gridCol w:w="1092"/>
        <w:gridCol w:w="8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September 30, </w:t>
            </w:r>
          </w:p>
        </w:tc>
        <w:tc>
          <w:tcPr>
            <w:tcW w:w="8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5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5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4"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3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Sublicense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3,851</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12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8,048</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28,186</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3,207</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6,185</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8,494</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7,058</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14,233</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36,680</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(6,780</w:t>
            </w:r>
          </w:p>
        </w:tc>
        <w:tc>
          <w:tcPr>
            <w:tcW w:w="1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(13,778</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(6,588</w:t>
            </w:r>
          </w:p>
        </w:tc>
        <w:tc>
          <w:tcPr>
            <w:tcW w:w="1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(13,488</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(6,588</w:t>
            </w:r>
          </w:p>
        </w:tc>
        <w:tc>
          <w:tcPr>
            <w:tcW w:w="1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(13,491</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recognized $277,700 and $455,300 in sublicense revenue for the three and six months ended September 30, 2023 as compared to ($892,500) and ($582,500) for the three and six months ended September 30, 2022. At September 30, 2022, we extended the date in our estimate to complete the performance obligation under the AffaMed Agreement. As a result of the change in our estimate of the time required to complete our performance obligation, we recorded a cumulative catch-up adjustment at September 30, 2022 which resulted in derecognition of an aggregate of $892,500 of previously recognized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may potentially receive additional cash payments and royalties in the future under the AffaMed Agreement in the event certain performance-based milestones and commercial sales are achieved, there can be no assurance that the AffaMed Agreement will provide any additional revenue beyond that noted or cash payments to us in the near term,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the following (amounts in thousands):</w:t>
      </w:r>
    </w:p>
    <w:p>
      <w:pPr>
        <w:pStyle w:val="TextBody"/>
        <w:bidi w:val="0"/>
        <w:spacing w:before="0" w:after="0"/>
        <w:ind w:left="0" w:right="0" w:hanging="0"/>
        <w:jc w:val="left"/>
        <w:rPr>
          <w:caps w:val="false"/>
          <w:smallCaps w:val="false"/>
        </w:rPr>
      </w:pPr>
      <w:r>
        <w:rPr>
          <w:caps w:val="false"/>
          <w:smallCaps w:val="false"/>
        </w:rPr>
        <w:t> </w:t>
      </w:r>
    </w:p>
    <w:tbl>
      <w:tblPr>
        <w:tblW w:w="9536" w:type="dxa"/>
        <w:jc w:val="left"/>
        <w:tblInd w:w="0" w:type="dxa"/>
        <w:tblLayout w:type="fixed"/>
        <w:tblCellMar>
          <w:top w:w="0" w:type="dxa"/>
          <w:left w:w="0" w:type="dxa"/>
          <w:bottom w:w="0" w:type="dxa"/>
          <w:right w:w="0" w:type="dxa"/>
        </w:tblCellMar>
      </w:tblPr>
      <w:tblGrid>
        <w:gridCol w:w="3470"/>
        <w:gridCol w:w="60"/>
        <w:gridCol w:w="262"/>
        <w:gridCol w:w="1018"/>
        <w:gridCol w:w="126"/>
        <w:gridCol w:w="126"/>
        <w:gridCol w:w="262"/>
        <w:gridCol w:w="1239"/>
        <w:gridCol w:w="60"/>
        <w:gridCol w:w="60"/>
        <w:gridCol w:w="241"/>
        <w:gridCol w:w="938"/>
        <w:gridCol w:w="116"/>
        <w:gridCol w:w="116"/>
        <w:gridCol w:w="241"/>
        <w:gridCol w:w="1141"/>
        <w:gridCol w:w="60"/>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9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September 30,</w:t>
            </w:r>
          </w:p>
        </w:tc>
        <w:tc>
          <w:tcPr>
            <w:tcW w:w="6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and related</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1,379</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2,772</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3,396</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12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Consulting and other professional services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ind w:left="0" w:right="0" w:hanging="0"/>
              <w:jc w:val="left"/>
              <w:rPr/>
            </w:pPr>
            <w:r>
              <w:rPr/>
              <w:t> </w:t>
            </w:r>
          </w:p>
        </w:tc>
        <w:tc>
          <w:tcPr>
            <w:tcW w:w="12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and development expenses: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Fasedienol and Itruvone</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1,511</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ind w:left="0" w:right="0" w:hanging="0"/>
              <w:jc w:val="left"/>
              <w:rPr/>
            </w:pPr>
            <w:r>
              <w:rPr/>
              <w:t> </w:t>
            </w:r>
          </w:p>
        </w:tc>
        <w:tc>
          <w:tcPr>
            <w:tcW w:w="12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3,524</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22,400</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AV-101</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12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All other</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1,616</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12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23,166</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Occupancy and all other</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Research and Development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3,851</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8,048</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28,186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and six months ended September 30, 2023, the decrease in research and development expenses, as compared to the same periods in 2022, was primarily due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and related expenses decreased by $365 thousand and $624 thousand for the three and six months ended September 30, 2023, respectively, primarily due to voluntary terminations following the results of the PALISADE-1 study in Fiscal 2023.</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and development expenses decreased by $8.7 million and $19.4 million for the three and six months ended September 30, 2023, respectively, primarily related to study closing processes for the PALISADE-1 and PALISADE-2 clinical trial components of our PALISADE Phase 3 Program for fasedienol, as well as nonclinical development, regulatory and outsourced manufacturing activities for both fasedienol and itruvone.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the following (amounts in thousands):</w:t>
      </w:r>
    </w:p>
    <w:p>
      <w:pPr>
        <w:pStyle w:val="TextBody"/>
        <w:bidi w:val="0"/>
        <w:spacing w:before="0" w:after="0"/>
        <w:ind w:left="0" w:right="0" w:hanging="0"/>
        <w:jc w:val="left"/>
        <w:rPr>
          <w:caps w:val="false"/>
          <w:smallCaps w:val="false"/>
        </w:rPr>
      </w:pPr>
      <w:r>
        <w:rPr>
          <w:caps w:val="false"/>
          <w:smallCaps w:val="false"/>
        </w:rPr>
        <w:t> </w:t>
      </w:r>
    </w:p>
    <w:tbl>
      <w:tblPr>
        <w:tblW w:w="9684" w:type="dxa"/>
        <w:jc w:val="left"/>
        <w:tblInd w:w="0" w:type="dxa"/>
        <w:tblLayout w:type="fixed"/>
        <w:tblCellMar>
          <w:top w:w="0" w:type="dxa"/>
          <w:left w:w="0" w:type="dxa"/>
          <w:bottom w:w="0" w:type="dxa"/>
          <w:right w:w="0" w:type="dxa"/>
        </w:tblCellMar>
      </w:tblPr>
      <w:tblGrid>
        <w:gridCol w:w="3620"/>
        <w:gridCol w:w="60"/>
        <w:gridCol w:w="283"/>
        <w:gridCol w:w="1098"/>
        <w:gridCol w:w="135"/>
        <w:gridCol w:w="135"/>
        <w:gridCol w:w="283"/>
        <w:gridCol w:w="1098"/>
        <w:gridCol w:w="60"/>
        <w:gridCol w:w="60"/>
        <w:gridCol w:w="260"/>
        <w:gridCol w:w="1011"/>
        <w:gridCol w:w="125"/>
        <w:gridCol w:w="125"/>
        <w:gridCol w:w="260"/>
        <w:gridCol w:w="1011"/>
        <w:gridCol w:w="6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September 30,</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and related</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1,071</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2,098</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2,162</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1,193</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Consulting and professional services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2,409</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4,210</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 occupancy and all other expenses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929</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3,207</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6,185</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and six months ended September 30, 2023, the decrease in general and administrative expenses, as compared to the same periods in 2022, was primarily due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Stock-based compensation decreased by $287 thousand and $654 thousand for the three and six months ended September 30, 2023, respectively, primarily due to option grants becoming fully vested with no significant new option grants.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Consulting and professional services decreased by $408 thousand and $1.8 million for the three and six months ended September 30, 2023, respectively, primarily due to professional service fees expensed in the three and six months ended September 30, 2022 for pre-commercial activities as well as service fees associated with a potential credit facility offering that was not consummated as a result of the outcome of our PALISADE-1 clinical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research and development and general and administrative expenses will increase during the remainder of fiscal year 2024 as we continue to advance our PALISADE Phase 3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income, net increased in the three and six months ended September 30, 2023 as compared the same periods in 2022 due to increases in interest rates as well as interest earned on cash proceeds received from our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our inception in May 1998 through September 30, 2023, we have financed our operations and technology acquisitions primarily through the issuance and sale of our equity and debt securities for cash proceeds of approximately $245.0 million, as well as from an aggregate of approximately $22.7 million of government research grant awards (excluding the fair market value of government-sponsored and funded clinical trials), strategic collaboration payments and intellectual property licensing, and other revenues. Additionally, we have issued equity securities with an approximate value at issuance of $41.3 million in noncash acquisitions of product licenses, our acquisition of Pherin in February 2023, and in settlements of certain liabilities, including liabilities for professional services rendered to us or as compensation for such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During the six months ended September 30, 2023, we sold 4,698,495 shares of our common stock under the terms of our ATM program for net cash proceeds of approximately $36.2 million. In addition, as noted in Note 10, </w:t>
      </w:r>
      <w:r>
        <w:rPr>
          <w:rFonts w:ascii="Times New Roman" w:hAnsi="Times New Roman"/>
          <w:i/>
          <w:caps w:val="false"/>
          <w:smallCaps w:val="false"/>
          <w:sz w:val="20"/>
        </w:rPr>
        <w:t>Subsequent Events</w:t>
      </w:r>
      <w:r>
        <w:rPr>
          <w:rFonts w:ascii="Times New Roman" w:hAnsi="Times New Roman"/>
          <w:caps w:val="false"/>
          <w:smallCaps w:val="false"/>
          <w:sz w:val="20"/>
        </w:rPr>
        <w:t>, we received net proceeds of approximately $93.5 million from the October 2023 Public Offering subsequent to the quarter ended September 30, 2023, and through the date of the issuance of this Report. These financings and other transactions consummated in Fiscal 2024, as well as financings and other transactions consummated prior to Fiscal 2024, have provided the primary sources of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cash and cash equivalents of approximately $37.6 million at September 30, 2023 and as noted above, we received net proceeds of approximately $93.5 million from the October 2023 Public Offering, which we believe is sufficient to fund our planned operations for more than twelve months following the issuance of these condensed consolidated financial statements. We are continuing to manage our cash resources as we prepare to launch our PALISADE-3 and PALISADE-4 Phase 3 clinical trials of fasedienol as a potential new treatment of anxiety in adults with SAD, as well as a potential Phase 2B trial of itruvone and nonclinical studies of our other pherine candidates, and strategies for the further development and potential commercialization, on our own or with collaborators, of all of our product candidates. However, as we have not yet developed products that generate recurring revenue and, in the event we successfully complete future clinical and/or nonclinical programs, we will need to obtain and invest substantial additional capital resources to develop and commercialize any of our product candidates. We may satisfy our future cash needs through sale of equity or debt securities, government grants and research awards, and partnering collaborations or 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necessary and advantageous, we will seek additional financial resources to fund our planned operations through (i) sales of our equity and/or debt securities in one or more public offerings and/or private placements, including sales of our securities under the ATM program, (ii) non-dilutive government grants and research awards and (iii) non-dilutive strategic partnering collaborations to advance development and commercialization of our product candidates. However, no assurance can be provided that any such sales of our securities, awards, agreements or collaborations will occur in the future. Subject to certain restrictions, our S-3 Shelf Registration Statement remains available for future sales of our equity securities in one or more public offerings from time to time. While we may make additional sales of our equity securities under the S-3 Shelf Registration Statement and/or under the Sales Agreement, we do not have an obligation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capital and funding from non-dilutive sources, and continue to carefully manage our operating costs, including, but not limited to, our clinical and nonclinical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there can be no assurance that future financings will be available to us in sufficient amounts, in a timely manner, or on terms acceptable to us, if at all, or that current or future development and commercialization collaborations will generate revenue from future potential milestone payments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changes in cash and cash equivalents for the periods stated (in thousands):</w:t>
      </w:r>
    </w:p>
    <w:p>
      <w:pPr>
        <w:pStyle w:val="TextBody"/>
        <w:bidi w:val="0"/>
        <w:spacing w:before="0" w:after="0"/>
        <w:ind w:left="0" w:right="0" w:hanging="0"/>
        <w:jc w:val="left"/>
        <w:rPr>
          <w:caps w:val="false"/>
          <w:smallCaps w:val="false"/>
        </w:rPr>
      </w:pPr>
      <w:r>
        <w:rPr>
          <w:caps w:val="false"/>
          <w:smallCaps w:val="false"/>
        </w:rPr>
        <w:t> </w:t>
      </w:r>
    </w:p>
    <w:tbl>
      <w:tblPr>
        <w:tblW w:w="7078" w:type="dxa"/>
        <w:jc w:val="left"/>
        <w:tblInd w:w="0" w:type="dxa"/>
        <w:tblLayout w:type="fixed"/>
        <w:tblCellMar>
          <w:top w:w="0" w:type="dxa"/>
          <w:left w:w="0" w:type="dxa"/>
          <w:bottom w:w="0" w:type="dxa"/>
          <w:right w:w="0" w:type="dxa"/>
        </w:tblCellMar>
      </w:tblPr>
      <w:tblGrid>
        <w:gridCol w:w="4130"/>
        <w:gridCol w:w="60"/>
        <w:gridCol w:w="206"/>
        <w:gridCol w:w="1075"/>
        <w:gridCol w:w="132"/>
        <w:gridCol w:w="99"/>
        <w:gridCol w:w="206"/>
        <w:gridCol w:w="1075"/>
        <w:gridCol w:w="9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9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p>
        </w:tc>
        <w:tc>
          <w:tcPr>
            <w:tcW w:w="9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3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9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(14,081</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(32,309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35,051</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20,970</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(32,848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16,638</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68,136</w:t>
            </w:r>
          </w:p>
        </w:tc>
        <w:tc>
          <w:tcPr>
            <w:tcW w:w="9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37,608</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35,288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September 30, 2023, cash used in operations was $14.1 million compared to $32.3 million for the six months ended September 30, 2022. The decrease in cash used in operations is primarily due to our completion of fasedienol clinical trials including PALISADE-2 and a decrease in compensation and related expenses due to the results of PALISADE-1.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financing activities in the six months ended September 30, 2023 primarily reflects net proceeds from our transactions under our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no off-balance sheet arrangements.</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5"/>
        <w:gridCol w:w="60"/>
        <w:gridCol w:w="2915"/>
      </w:tblGrid>
      <w:tr>
        <w:trPr/>
        <w:tc>
          <w:tcPr>
            <w:tcW w:w="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9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There was no change in our internal control over financial reporting (as defined in Rule 13a-15(f) of the Exchange Act) from that described in our Annual Report on Form 10-K for our fiscal year ended March 31, 2023, filed with the Securities and Exchange Commission </w:t>
      </w:r>
      <w:r>
        <w:rPr>
          <w:rFonts w:ascii="Times New Roman" w:hAnsi="Times New Roman"/>
          <w:i/>
          <w:caps w:val="false"/>
          <w:smallCaps w:val="false"/>
          <w:sz w:val="20"/>
        </w:rPr>
        <w:t>(SEC)</w:t>
      </w:r>
      <w:r>
        <w:rPr>
          <w:rFonts w:ascii="Times New Roman" w:hAnsi="Times New Roman"/>
          <w:caps w:val="false"/>
          <w:smallCaps w:val="false"/>
          <w:sz w:val="20"/>
        </w:rPr>
        <w:t xml:space="preserve"> on June 28, 2023, that occurred during the quarter ended September 30, 2023, to which this Report relates,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PART II: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1.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below, before investing in our securities. These risks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have incurred significant net losses since inception and we will continue to incur substantial operating losses for the foreseeable future;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a development stage biopharmaceutical company with no revenues from product sales or approved products, and limited experience developing new drug candidates, which makes it difficult to assess our future viability;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failures of future clinical studies of our product candidates, or delays in the commencement or completion of our planned clinical trials, could result in increased costs to us and could delay, prevent or limit our ability to generate revenue and continue our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require additional financing to execute our long-term business plan either on our own or with collaborators, including further development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depend heavily on the success of our product candidates, and we cannot be certain that we will be able to obtain regulatory approval for, or successfully commercialize, any of our current or future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are unable to retain or attract key management and scientific personnel, we may be unable to successfully produce and develop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successful completion of clinical or nonclinical studies in any of our development programs may not be sufficient to cause the FDA to approve any New Drug Application (</w:t>
            </w:r>
            <w:r>
              <w:rPr>
                <w:rFonts w:ascii="Times New Roman;Times;serif" w:hAnsi="Times New Roman;Times;serif"/>
                <w:i/>
                <w:caps w:val="false"/>
                <w:smallCaps w:val="false"/>
                <w:sz w:val="20"/>
              </w:rPr>
              <w:t>NDA</w:t>
            </w:r>
            <w:r>
              <w:rPr>
                <w:rFonts w:ascii="Times New Roman;Times;serif" w:hAnsi="Times New Roman;Times;serif"/>
                <w:caps w:val="false"/>
                <w:smallCaps w:val="false"/>
                <w:sz w:val="20"/>
              </w:rPr>
              <w:t>) that we may submit or cause any other agency to provide regulatory approval of any of our product candidates and, even if approved, does not ensure acceptance of such product candidates by clinicians leading to a revenue stream to support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face significant competition, and if we are unable to compete effectively, we may not be able to achieve or maintain significant market penetration or improve our results of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other risks and uncertainties, including those described under </w:t>
            </w:r>
            <w:r>
              <w:rPr>
                <w:rFonts w:ascii="Times New Roman;Times;serif" w:hAnsi="Times New Roman;Times;serif"/>
                <w:i/>
                <w:caps w:val="false"/>
                <w:smallCaps w:val="false"/>
                <w:sz w:val="20"/>
              </w:rPr>
              <w:t>Risk Factors</w:t>
            </w:r>
            <w:r>
              <w:rPr>
                <w:rFonts w:ascii="Times New Roman;Times;serif" w:hAnsi="Times New Roman;Times;serif"/>
                <w:caps w:val="false"/>
                <w:smallCaps w:val="false"/>
                <w:sz w:val="20"/>
              </w:rPr>
              <w:t>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are unable to effectively manage the impact of these and other risks, our ability to operate and execute our business plan would be substantially impaired. In turn, the value of our securities would be materially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You should consider carefully the risks and uncertainties described below, together with all of the other information in this Report before investing in our securities. The risks described below are not the only risks facing our Company.</w:t>
      </w:r>
      <w:r>
        <w:rPr>
          <w:rFonts w:ascii="Times New Roman" w:hAnsi="Times New Roman"/>
          <w:caps w:val="false"/>
          <w:smallCaps w:val="false"/>
          <w:sz w:val="20"/>
        </w:rPr>
        <w:t>  </w:t>
      </w:r>
      <w:r>
        <w:rPr>
          <w:rFonts w:ascii="Times New Roman" w:hAnsi="Times New Roman"/>
          <w:i/>
          <w:caps w:val="false"/>
          <w:smallCaps w:val="false"/>
          <w:sz w:val="20"/>
        </w:rPr>
        <w:t>Additional risks and uncertainties not currently known to us or that we currently deem to be immaterial may also materially adversely affect our business, financial condition and/or operating results. If any of the following risks</w:t>
      </w:r>
      <w:r>
        <w:rPr>
          <w:rFonts w:ascii="Times New Roman" w:hAnsi="Times New Roman"/>
          <w:caps w:val="false"/>
          <w:smallCaps w:val="false"/>
          <w:sz w:val="20"/>
        </w:rPr>
        <w:t> </w:t>
      </w:r>
      <w:r>
        <w:rPr>
          <w:rFonts w:ascii="Times New Roman" w:hAnsi="Times New Roman"/>
          <w:i/>
          <w:caps w:val="false"/>
          <w:smallCaps w:val="false"/>
          <w:sz w:val="20"/>
        </w:rPr>
        <w:t xml:space="preserve">are realized, our business, financial condition and results of operations could be materially and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of therapeutic products, which makes it difficult to assess our future viability.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development-stage biopharmaceutical company. We currently have no approved products and no revenue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60"/>
        <w:gridCol w:w="170"/>
        <w:gridCol w:w="8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 and obtain required regulatory approvals for commercialization of any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170"/>
        <w:gridCol w:w="5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leverage and expand our intellectual property portfolio;</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60"/>
        <w:gridCol w:w="170"/>
        <w:gridCol w:w="4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gain market acceptance for our product candidates;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adequate capital resources and manage our spending as costs and expenses increase due to research, production, development and regulatory approval of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require additional financing to execute our long-term business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our inception through 2019, a substantial portion of our resources were dedicated to research and development of AV-101 and the stem cell technology platform of our wholly-owned subsidiary, Vistastem Therapeutics. Since 2019, we have expended a considerable portion of our resources for research, clinical development, manufacturing and regulatory expense related to fasedienol and itruvone, including costs related to the PALISADE Phase 3 Program and our Phase 1 study of itruvone in MDD. We expect to continue to expend substantial resources for the foreseeable future developing fasedienol, itruvone, AV-101 and our other product candidates, PH15, PH80 and PH284, on our own and in strategic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should the FDA approve any of such product candidates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cash and cash equivalents of approximately $37.6 million at September 30, 2023, and we have not yet developed products that generate recurring revenue. Assuming successful completion of our planned clinical and nonclinical programs, we will need to invest substantial additional capital resources to commercialize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next twelve months, subject to availability of adequate working capital, we plan to (i) continue to advance our PALISADE Phase 3 Program to develop and commercialize fasedienol as a new acute treatment of anxiety in adults with SAD, (ii) complete preparations, on our own or with a collaborator for further Phase 2B clinical development of itruvone, on our own or with a collaborator, as a potential stand-alone treatment for MDD, (iii) complete IND-enabling activities, either on our own with a collaborator, for Phase 2B development of PH80, PH15 and PH284 and Phase 2A development of AV-101 for one or more neurological disorders involving the NMDAR, and (iv) conduct various nonclinical studies involving each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received the $5 million upfront payment under the AffaMed Agreement in August 2020 and the $1.5 million Purchase Price from Fuji Pharma in November 2023 and expect to recognize those amounts as revenue in future periods, we have no other sources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transactions involving our stem cell technology, or (iii) obtain approval from the FDA and other regulatory authorities and successfully commercialize fasedienol, or one of our other product candidates, on our own or through collaborations.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any of our product candidates, on our own or in collaboration with others. As in prior periods, we will continue to incur substantial costs associated with other clinical and nonclinical development programs for our product candidates. In addition, other unanticipated costs may arise. As a result of these and other factors, we will need to seek additional capital to meet our future operating plans and requirements, including capital necessary to develop, obtain regulatory approval for fasedienol and our other product candidates, and may seek additional capital in the event there exists favorable market conditions or strategic considerations, even if we believe we have sufficient funds for our current or future operating plans and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intend to pursue and complete additional financing arrangements in the future. Our future capital requirements may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and characteristics of the product candidates we pursue;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scope, progress, results and costs of researching, developing and commercializing our product candidates, and conducting preclinical and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170"/>
        <w:gridCol w:w="8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and the costs involved in, obtaining regulatory approvals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manufacturing and formulating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establish and maintain strategic partnerships, licensing or other collaborative arrangements and the financial terms of such agreements;</w:t>
            </w:r>
          </w:p>
        </w:tc>
      </w:tr>
    </w:tbl>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60"/>
        <w:gridCol w:w="170"/>
        <w:gridCol w:w="3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market acceptance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 of competing technological and market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0"/>
        <w:gridCol w:w="170"/>
        <w:gridCol w:w="6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government funding for our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involved in obtaining, maintaining and enforcing patents to preserve our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involved in defending against such claims that we infringe third-party patents or violate other intellectual property rights and the outcome of such litigation;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receipt and amount of potential future licensee fees, milestone payments, and sales of, or royalties on, our future products, if any; and</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we may acquire or invest in additional businesses, product candidates and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additional fundraising efforts will divert certain members of our management team from their day-to-day activities, which may adversely affect our ability to develop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necessary, if we are unable to obtain additional funding on a timely basis and on acceptable terms, we may be required to significantly curtail, delay or discontinue one or more of our research or product development programs or be unable to continue or expand our operations or otherwise capitalize on our business opportunities, as desired, which could materially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future success is highly dependent upon our ability to successfully develop, on our own or with collaborators, any of our current CNS product candidates or acquire or license additional CNS product candidates, and we cannot provide any assurance that we will successfully develop and obtain regulatory approval of any of our current CNS product candidates or future product candidates, or that, if approved, any of our CNS product candidates will be successfully commercialized.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development and research and development programs designed to identify, acquire or license additional product candidates require substantial technical, financial and human resources, whether or not any additional CNS product candidate is acquired or licensed. If beneficial, we may seek to collaborate with others to develop and commercialize any of our current or future CNS product candidates, if and when they are acquired and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our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Product Development, Regulatory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Failures of clinical studies of our product candidates could result in increased costs to us and could delay, prevent or limit our ability to generate revenue and continue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PALISADE-1 Phase 3 clinical study of fasedienol for the acute treatment of anxiety in adults with SAD did not achieve its primary endpoint, as measured by change from baseline using the SUDS as compared to placebo. Successful completion of our nonclinical and clinical trials is a prerequisite to submitting an NDA and, consequently, the ultimate approval required before commercial marketing of any product candidate we may develop. Failure of any of our current and/or future clinical and nonclinical trials to achieve the planned endpoints, such as our PALISADE-1 Phase 3 clinical trial of fasedienol, could result in increased costs to us and could delay, prevent or limit our ability to generate revenue and continue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depend heavily on the success of one or more of our current CNS drug candidates and we cannot be certain that we will be able to obtain regulatory approval for any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have no drug products for sale and may never be able to develop marketable drug products. Our business currently depends heavily on the successful development, manufacturing and regulatory approval of one or more of our current CNS drug candidates, as well as our ability to acquire, license or produce and develop additional product candidates. Each of our current investigational CNS drug candidates will require substantial additional nonclinical and clinical development, manufacturing and regulatory approval before any of them may be commercialized, and there can be no assurance that any of them will ever achieve regulatory approval.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FDA advisory committee may recommend, or the FDA may require, a Risk Evaluation and Mitigation Strategies (</w:t>
            </w:r>
            <w:r>
              <w:rPr>
                <w:rFonts w:ascii="Times New Roman;Times;serif" w:hAnsi="Times New Roman;Times;serif"/>
                <w:i/>
                <w:caps w:val="false"/>
                <w:smallCaps w:val="false"/>
                <w:sz w:val="20"/>
              </w:rPr>
              <w:t>REMS</w:t>
            </w:r>
            <w:r>
              <w:rPr>
                <w:rFonts w:ascii="Times New Roman;Times;serif" w:hAnsi="Times New Roman;Times;serif"/>
                <w:caps w:val="false"/>
                <w:smallCaps w:val="false"/>
                <w:sz w:val="20"/>
              </w:rPr>
              <w:t>) safety program as a condition of approval or post-approval;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FDA advisory committee or the FDA or applicable regulatory agency may determine that there is insufficient evidence of overall effectiveness or safety in a NDA and require additional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Times New Roman;Times;serif" w:hAnsi="Times New Roman;Times;serif"/>
                <w:i/>
                <w:caps w:val="false"/>
                <w:smallCaps w:val="false"/>
                <w:sz w:val="20"/>
              </w:rPr>
              <w:t>cGMPs</w:t>
            </w:r>
            <w:r>
              <w:rPr>
                <w:rFonts w:ascii="Times New Roman;Times;serif" w:hAnsi="Times New Roman;Times;serif"/>
                <w:caps w:val="false"/>
                <w:smallCaps w:val="false"/>
                <w:sz w:val="20"/>
              </w:rPr>
              <w:t>); or</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60"/>
        <w:gridCol w:w="170"/>
        <w:gridCol w:w="8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applicable foreign regulatory agency may change its approval policies or adopt new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these factors, many of which are beyond our control, could jeopardize our ability to obtain regulatory approval for any current or future drug product candidate we may develop. Any such setback in our pursuit of regulatory approval for any product candidate would have a material adverse effect on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certain of our product candidates, including fasedienol and itruvone,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Times New Roman" w:hAnsi="Times New Roman"/>
          <w:i/>
          <w:caps w:val="false"/>
          <w:smallCaps w:val="false"/>
          <w:sz w:val="20"/>
        </w:rPr>
        <w:t>QS</w:t>
      </w:r>
      <w:r>
        <w:rPr>
          <w:rFonts w:ascii="Times New Roman" w:hAnsi="Times New Roman"/>
          <w:caps w:val="false"/>
          <w:smallCaps w:val="false"/>
          <w:sz w:val="20"/>
        </w:rPr>
        <w:t>) regulations applicable to medical devices. Problems associated with the device component of the combination product candidate may delay or prevent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COVID-19 pandemic has adversely impacted and may continue to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Beginning in late-2019, a new strain of coronavirus (</w:t>
      </w:r>
      <w:r>
        <w:rPr>
          <w:rFonts w:ascii="Times New Roman" w:hAnsi="Times New Roman"/>
          <w:i/>
          <w:caps w:val="false"/>
          <w:smallCaps w:val="false"/>
          <w:sz w:val="20"/>
        </w:rPr>
        <w:t>COVID-19</w:t>
      </w:r>
      <w:r>
        <w:rPr>
          <w:rFonts w:ascii="Times New Roman" w:hAnsi="Times New Roman"/>
          <w:caps w:val="false"/>
          <w:smallCaps w:val="false"/>
          <w:sz w:val="20"/>
        </w:rPr>
        <w:t>) spread across the world and caused considerable uncertainty about the potential effects of the virus and its variants, and the extent of and effectiveness of responses taken on international, national and local levels. Measures taken to limit the impact of the pandemic, including shelter-in-place orders, social distancing measures, travel bans and restrictions, and business and government shutdowns, resulted in significant negative economic impacts on a global basis. The COVID-19 pandemic has impacted our business and may continue to do so. Additionally, future outbreaks may have several adverse effects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Adverse impact on product development</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Recent medical literature has reported that the SARS-COV-2 virus, which causes COVID-19, may cause long-term and reversible olfactory dysfunction (</w:t>
            </w:r>
            <w:r>
              <w:rPr>
                <w:rFonts w:ascii="Times New Roman;Times;serif" w:hAnsi="Times New Roman;Times;serif"/>
                <w:i/>
                <w:caps w:val="false"/>
                <w:smallCaps w:val="false"/>
                <w:sz w:val="20"/>
              </w:rPr>
              <w:t>OD</w:t>
            </w:r>
            <w:r>
              <w:rPr>
                <w:rFonts w:ascii="Times New Roman;Times;serif" w:hAnsi="Times New Roman;Times;serif"/>
                <w:caps w:val="false"/>
                <w:smallCaps w:val="false"/>
                <w:sz w:val="20"/>
              </w:rPr>
              <w:t>) in approximately 30% of affected individuals. OD may occur in cases where the SARS-COV-2 virus damages the nasal chemosensory epithelium, a structure in the nose where the types of cells are found that respond to pherines such as fasedienol, itruvone, PH15, PH80 and PH284. Accordingly, there is a risk that the prevalence of OD caused by COVID-19 infections may interfere with the ability of our pherine nasal sprays to provide a therapeutic benefit, which, may, in turn, have a materially adverse impact on results of our clinical trials designed to assess the efficacy of these product candidates or a negative impact on potential future sales should any of our pherine nasal sprays be approved for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Negative impacts on our employees, collaborators and suppliers</w:t>
            </w:r>
            <w:r>
              <w:rPr>
                <w:rFonts w:ascii="Times New Roman;Times;serif" w:hAnsi="Times New Roman;Times;serif"/>
                <w:caps w:val="false"/>
                <w:smallCaps w:val="false"/>
                <w:sz w:val="20"/>
              </w:rPr>
              <w:t>: COVID-19 impacted, and variant and subvariant strains of COVID-19 or another highly transmissible and pathogenic infectious disease may impact or continue to impact, the health of our employees, collaborators, contractors or suppliers, reduce the availability of our workforce or those of companies with which we do business, divert our attention toward succession planning, or create disruptions in our supply or distribution networks. During the acute phase of the COVID-19 pandemic, we experienced delays of the delivery of supplies of active pharmaceutical product (</w:t>
            </w:r>
            <w:r>
              <w:rPr>
                <w:rFonts w:ascii="Times New Roman;Times;serif" w:hAnsi="Times New Roman;Times;serif"/>
                <w:i/>
                <w:caps w:val="false"/>
                <w:smallCaps w:val="false"/>
                <w:sz w:val="20"/>
              </w:rPr>
              <w:t>API</w:t>
            </w:r>
            <w:r>
              <w:rPr>
                <w:rFonts w:ascii="Times New Roman;Times;serif" w:hAnsi="Times New Roman;Times;serif"/>
                <w:caps w:val="false"/>
                <w:smallCaps w:val="false"/>
                <w:sz w:val="20"/>
              </w:rPr>
              <w:t>) required to continue development of fasedienol and itruvone.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COVID-19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clinical sites involved in our clinical studies and other contractors. The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been granted Fast Track designation from the FDA for development of fasedienol for the treatment of SAD, itruvone for the treatment of major depressive order (MDD) and AV-101 for the adjunctive treatment of MDD and for the treatment of neuropathic pain (NP). However, these designations may not actually lead to faster development or regulatory review or approval processes for fasedienol or AV-101. Further, there is no guarantee the FDA will grant Fast Track designation for fasedienol, itruvone or AV-101 as a treatment option for other CNS indications or for any of our other product candidates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fasedienol for the treatment of SAD. In December 2022, the FDA granted Fast Track designation for the development of itruvone  for the treatment of MDD. However, these FDA Fast Track designations may not lead to a faster development or regulatory review or approval process for fasedienol or AV-101 and the FDA may withdraw Fast Track designation of fasedienol, AV-101 or itruvone if it believes that the respective designation is no longer supported by data from our clinical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may apply for Fast Track designation for fasedienol, AV-101, itruvone and any of our other product candidates as a treatment option for other CNS indications. The FDA has broad discretion whether or not to grant a Fast Track designation, and even if we believe our product candidates may be eligible for this designation, we cannot be sure that the FDA will grant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Results of earlier clinical trials may not be predictive of the results of later-stage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preclinical studies and early clinical trials of our current and/or our other future product candidates, if any, including positive results, may not be predictive of the results of later-stage clinical trials. Each of our current or any other future product candidates in later stages of clinical development may fail to show the desired safety and efficacy results despite having progressed through nonclinical studies and initial clinical trials, as is the case for results from our PALISADE-1 clinical trial.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future nonclinical or clinical studies fail to produce positive results, the development timeline and regulatory approval and commercialization prospects for these candidates and, correspondingly, our business and financial prospects,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Any changes in planned timing or nature of clinical trials compared to completed clinical trials could impede our ability to meet our clinical development objectives for our product candidates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example, the timing of planned clinical trials were effected by delays caused by the COVID-19 pandemic, including delays in recruitment and enrollment in our planned clinical and nonclinical studies or supply chain disruptions experienced by certain of our CMOs and/or CROs.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resulting from the COVID-19 pandemic could cause us to incur additional costs or delay initiation or completion of planned clinical and/or nonclinical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serious adverse events or other undesirable side effects or safety concerns attributable to our product candidates occur, the clinical development of our product candidates may be delayed or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Times New Roman" w:hAnsi="Times New Roman"/>
          <w:i/>
          <w:caps w:val="false"/>
          <w:smallCaps w:val="false"/>
          <w:sz w:val="20"/>
        </w:rPr>
        <w:t>SAEs</w:t>
      </w:r>
      <w:r>
        <w:rPr>
          <w:rFonts w:ascii="Times New Roman" w:hAnsi="Times New Roman"/>
          <w:caps w:val="false"/>
          <w:smallCaps w:val="false"/>
          <w:sz w:val="20"/>
        </w:rPr>
        <w:t>) were reported in any clinical trials of any of our product candidates completed to date, if treatment-related SAEs or other undesirable side effects or safety concerns, or unexpected characteristics attributable to any of our product candidates are reported in any future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suspend, or limit approvals of such product and require us to take them off the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the addition of labeling statements, specific warnings, a contraindication or field alerts to physicians and pharmacies;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a medication guide outlining the risks of such side effects for distribution to patients, or that we implement a REMS drug safety program or REMS-like plan to ensure that the benefits of the product outweigh its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a product is distributed or administered, conduct additional clinical trials or change the labeling of a product;</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60"/>
        <w:gridCol w:w="170"/>
        <w:gridCol w:w="6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conduct additional post-marketing studies or surveillance;</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170"/>
        <w:gridCol w:w="5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limitations on how we may promote the product;</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60"/>
        <w:gridCol w:w="170"/>
        <w:gridCol w:w="3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the product may decrease significantly;</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170"/>
        <w:gridCol w:w="9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regulatory investigations, government enforcement actions, litigation or product liability claims; and</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products may become less competitive or our reputation may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these events could prevent us or any collaborators from achieving or maintaining market acceptance of our product candidates or could substantially increase commercialization costs and expense, which in turn could delay or prevent us from generating significant revenue from the sale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Failures or delays in the commencement or completion of our planned nonclinical and clinical studies of our product candidates could result in increased costs to us and could delay, prevent or limit our ability to generate revenue and continue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need to successfully complete at least two Phase 3 clinical trials and certain other clinical and nonclinical studies prior to our potential submission of an NDA for regulatory approval of fasedienol as an as needed, over time, treatment of anxiety in adults with SAD. For itruvone, at present, we believe we will need to complete at least one additional Phase 2B clinical study, two adequate and well-controlled Phase 3 clinical trials, as well as standard nonclinical and long-term clinical safety studies, as well as other smaller clinical studies prior to the potential submission of a NDA for regulatory approval of itruvone as a stand-alone rapid-onset treatment for MDD, or any other depression disorder. For AV-101, we believe we will need to complete our ongoing exploratory Phase 1B clinical study, two Phase 2 clinical studies, two adequate and well-controlled Phase 3 clinical trials, additional toxicology and other standard nonclinical and long-term clinical safety studies, as well as certain standard smaller clinical studies prior to the potential submission of an NDA for regulatory approval in any CNS indication. For PH15, PH80 and PH284, we are in the process of determining the work required to successfully complete the clinical and nonclinical development of each of these product candidates.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any of our product candidates will be completed on schedule, if at all, as the commencement and completion of nonclinical and clinical trials can be delayed or prevented for a number of reasons, including,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regulatory authority may deny permission to proceed with planned clinical trials or any other clinical trials we may initiate, or may place a planned or ongoing clinical trial on hold;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8875" w:type="dxa"/>
        <w:jc w:val="left"/>
        <w:tblInd w:w="0" w:type="dxa"/>
        <w:tblLayout w:type="fixed"/>
        <w:tblCellMar>
          <w:top w:w="0" w:type="dxa"/>
          <w:left w:w="0" w:type="dxa"/>
          <w:bottom w:w="0" w:type="dxa"/>
          <w:right w:w="0" w:type="dxa"/>
        </w:tblCellMar>
      </w:tblPr>
      <w:tblGrid>
        <w:gridCol w:w="60"/>
        <w:gridCol w:w="170"/>
        <w:gridCol w:w="8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filing or receiving approvals from regulatory authorities of additional INDs that may be required;</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60"/>
        <w:gridCol w:w="170"/>
        <w:gridCol w:w="5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negative or ambiguous results from nonclinical or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the manufacturing of, or insufficient supply of product candidates necessary to conduct nonclinical or clinical trials, including delays in the manufacturing of sufficient supply of drug substance or finished drug product;</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manufacture or obtain clinical supplies of a product candidate meeting required quality standards;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obtaining Institutional Review Board (</w:t>
            </w:r>
            <w:r>
              <w:rPr>
                <w:rFonts w:ascii="Times New Roman;Times;serif" w:hAnsi="Times New Roman;Times;serif"/>
                <w:i/>
                <w:caps w:val="false"/>
                <w:smallCaps w:val="false"/>
                <w:sz w:val="20"/>
              </w:rPr>
              <w:t>IRB</w:t>
            </w:r>
            <w:r>
              <w:rPr>
                <w:rFonts w:ascii="Times New Roman;Times;serif" w:hAnsi="Times New Roman;Times;serif"/>
                <w:caps w:val="false"/>
                <w:smallCaps w:val="false"/>
                <w:sz w:val="20"/>
              </w:rPr>
              <w:t>) approval to conduct a clinical trial at a prospective clinical site or sites;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challenges in recruiting and enrolling patients to participate in clinical trials, including the proximity of patients to clinical trial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eligibility criteria for a clinical trial, the nature of a clinical trial protocol, the availability of approved effective treatments for the relevant disease and competition from other clinical trial programs for similar indications;</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70"/>
        <w:gridCol w:w="7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severe or unexpected adverse drug-related side effects experienced by patients in a clinical trial;</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validating any endpoints utilized in a clinical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60"/>
        <w:gridCol w:w="170"/>
        <w:gridCol w:w="9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reports from nonclinical or clinical testing of other CNS indications or therapies that raise safety or efficacy concerns;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retaining patients who have enrolled in a clinical trial but may be prone to withdraw due to rigors of the clinical trial, lack of efficacy, side effects, personal issues or loss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Times New Roman" w:hAnsi="Times New Roman"/>
          <w:i/>
          <w:caps w:val="false"/>
          <w:smallCaps w:val="false"/>
          <w:sz w:val="20"/>
        </w:rPr>
        <w:t>DSMB</w:t>
      </w:r>
      <w:r>
        <w:rPr>
          <w:rFonts w:ascii="Times New Roman" w:hAnsi="Times New Roman"/>
          <w:caps w:val="false"/>
          <w:smallCaps w:val="false"/>
          <w:sz w:val="20"/>
        </w:rPr>
        <w:t>), overseeing the clinical trial at issue or other regulatory authorities due to a number of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60"/>
        <w:gridCol w:w="170"/>
        <w:gridCol w:w="8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conduct the clinical trial in accordance with regulatory requirements or approved clinical protocols;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inspection of the clinical trial operations or trial sites by the regulatory authority that reveals deficiencies or violations that require us to undertake corrective action, including the imposition of a clinical hold;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unforeseen safety issues, including any that could be identified in nonclinical carcinogenicity studies, adverse side effects or lack of effectiveness;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government regulations or administrative actions;</w:t>
            </w:r>
          </w:p>
        </w:tc>
      </w:tr>
    </w:tbl>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60"/>
        <w:gridCol w:w="170"/>
        <w:gridCol w:w="6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problems with clinical supply materials that may lead to regulatory actions; and </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170"/>
        <w:gridCol w:w="5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lack of adequate funding to continue nonclinical or clinical studies.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Changes in regulatory requirements, regulatory guidance or unanticipated events during our nonclinical studies and clinical trials of our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regulatory requirements, guidance or unanticipated events during our nonclinical studies and clinical trials of any of our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CNS product candidates may be harmed and our ability to generate product revenue will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our current and/or future CNS product candidates may be delayed and we may not be able to obtain regulatory approval for our current or future CNS product candidates and our business could be substantially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 parties for efficient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and inefficiencies in coordinating activities. CROs and other outside parties may:</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disruptions to their operations, such as staff attrition, reduced staffing and supply chain disruptions;</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have staffing difficulties and/or undertake obligations beyond their anticipated capabilities and resources;</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 to comply with contractual obligations;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regulatory compliance issues;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undergo changes in priorities or become financially distressed; or</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relationships with other entities, some of which may be our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Times New Roman" w:hAnsi="Times New Roman"/>
          <w:i/>
          <w:caps w:val="false"/>
          <w:smallCaps w:val="false"/>
          <w:sz w:val="20"/>
        </w:rPr>
        <w:t>cGCPs</w:t>
      </w:r>
      <w:r>
        <w:rPr>
          <w:rFonts w:ascii="Times New Roman" w:hAnsi="Times New Roman"/>
          <w:caps w:val="false"/>
          <w:smallCaps w:val="false"/>
          <w:sz w:val="20"/>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investigator-sponsored clinical studies, we cannot control the amount and timing of resources these third 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rely completely on third 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API and formulate final drug product for any of pir product candidates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or successfully manufacture our product candidates, including API and finished drug product, that conforms to our specifications and the strict regulatory requirements of the FDA or applicable foreign regulatory agencies, production of sufficient supplies of our product candidates, including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any of our product candidates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yet have long-term supply agreements in place with our CMOs and each batch manufactured of our product candidates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fasedienol, itruvone, PH15, PH80 and PH284, and the current and projected supply of API and finished drug product for each of our product candidates will be adequate to support our planned nonclinical and clinical studies, no assurance can be given that unanticipated supply shortages or CMO-related delays in the manufacture and formulation of API and/or finished drug product for any or all of our product candidates will not occur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fasedienol, itruvone, PH15, PH80 and PH284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 w:hAnsi="Times New Roman"/>
          <w:i/>
          <w:caps w:val="false"/>
          <w:smallCaps w:val="false"/>
          <w:sz w:val="20"/>
        </w:rPr>
        <w:t>QSR</w:t>
      </w:r>
      <w:r>
        <w:rPr>
          <w:rFonts w:ascii="Times New Roman" w:hAnsi="Times New Roman"/>
          <w:caps w:val="false"/>
          <w:smallCaps w:val="false"/>
          <w:sz w:val="20"/>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we receive marketing approval for any of our CNS product candidate in the U.S., we may never receive regulatory approval to market the same CNS product candidate outside of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market any of our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Before we can commercialize our product candidates in the U.S. or any market outside the U.S., the U.S. Drug Enforcement Administration (</w:t>
      </w:r>
      <w:r>
        <w:rPr>
          <w:rFonts w:ascii="Times New Roman" w:hAnsi="Times New Roman"/>
          <w:i/>
          <w:caps w:val="false"/>
          <w:smallCaps w:val="false"/>
          <w:sz w:val="20"/>
        </w:rPr>
        <w:t>DEA</w:t>
      </w:r>
      <w:r>
        <w:rPr>
          <w:rFonts w:ascii="Times New Roman" w:hAnsi="Times New Roman"/>
          <w:caps w:val="false"/>
          <w:smallCaps w:val="false"/>
          <w:sz w:val="20"/>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will not be regulated as controlled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are unable to establish broad sales and marketing capabilities on our own or enter into agreements with third parties to market and sell our CNS product candidates, we may not be able to generate any revenue from product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 Moreover, creating broad sales and marketing capabilities will require substantial capital, which we may not be able to obtain.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we receive marketing approval for our CNS product candidates, our product candidates may not achieve broad market acceptance, which would limit the revenue that we generate from their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commercial success of our CNS product candidates, if approved by the FDA or other regulatory authorities, will depend upon the awareness and acceptance of our product candidates among the medical community, including physicians, patients and healthcare payers. Market acceptance of our product candidates, if approved, will depend on a number of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limitations or warnings contained in the labeling approved for our product candidates by the FDA or other applicable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clinical indications for which our product candidates are approved;</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170"/>
        <w:gridCol w:w="9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availability of alternative treatments already approved or expected to be commercially launched in the near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and perceived advantages of our product candidates over current treatment options or alternative treatments, including future alternative treatments;</w:t>
            </w:r>
          </w:p>
        </w:tc>
      </w:tr>
    </w:tbl>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willingness of the target patient population to try new therapies and of physicians to prescribe these therapies;</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strength of marketing and distribution support and timing of market introduction of competitive products;</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publicity concerning our products or competing products and treatments;</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170"/>
        <w:gridCol w:w="2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pricing and cost effectiveness;</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effectiveness of our sales and marketing strategies;</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170"/>
        <w:gridCol w:w="6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increase awareness of our product candidates through marketing efforts;</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60"/>
        <w:gridCol w:w="170"/>
        <w:gridCol w:w="5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sufficient third-party coverage or reimbursement; or</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willingness of patients to pay out-of-pocket in the absence of third-party coverage.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our CNS product candidates are approved but do not achieve an adequate level of acceptance by patients, physicians and payers, we may not generate sufficient revenue from our product candidates to become or remain profitable. Before granting reimbursement approval, healthcare payers may require us to demonstrate that our product candidates, in addition to treating these target indications, also provide incremental health benefits to patients. Our efforts to educate the medical community and third-party payers about the benefits of our product candidates may require significant resources and may never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60"/>
        <w:gridCol w:w="170"/>
        <w:gridCol w:w="7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or limit their approval of such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the addition of labeling statements, such as a “black box” warning or a contraindication;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such product candidates are distributed or administered, conduct additional clinical trials or change the labeling of the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regulatory investigations and government enforcement actions;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decide to remove such product candidates from the marketplace;</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60"/>
        <w:gridCol w:w="170"/>
        <w:gridCol w:w="9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be sued and held liable for injury caused to individuals exposed to or taking our product candidates; and</w:t>
            </w:r>
          </w:p>
        </w:tc>
      </w:tr>
    </w:tbl>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0"/>
        <w:gridCol w:w="170"/>
        <w:gridCol w:w="2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may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we receive marketing approval for our CNS product candidates, we may still face future development and regulatory difficulties.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drug safety program. Any REMS or comparable drug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170"/>
        <w:gridCol w:w="3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 warning letters or untitled letters;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seek an injunction or impose civil or criminal penalties or monetary fines;</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170"/>
        <w:gridCol w:w="3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suspend or withdraw marketing approval;</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170"/>
        <w:gridCol w:w="2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suspend any ongoing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refuse to approve pending applications or supplements to applications submitted by us;</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suspend or impose restrictions on operations, including costly new manufacturing requirements; or</w:t>
            </w:r>
          </w:p>
        </w:tc>
      </w:tr>
    </w:tbl>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60"/>
        <w:gridCol w:w="170"/>
        <w:gridCol w:w="9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seize or detain products, refuse to permit the import or export of products, or require that we initiate a product recall.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Competing therapies could emerge adversely affecting our opportunity to generate revenue from the sale of our CNS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Currently, management is unaware of any FDA-approved rapid-onset, treatment of anxiety in adults with SAD having the same mechanism of pharmacological action and safety profile as fasedienol. Also, management is currently unaware of any FDA-approved oral treatment for MDD having the same mechanism of pharmacological action and safety profile as our intranasally-administered itruvone or our orally 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itruvone or AV-101 in combination with probenecid may have therapeutic potential. Additionally, other non-pharmaceutical treatment options, such psychotherapy and electroconvulsive therapy (</w:t>
      </w:r>
      <w:r>
        <w:rPr>
          <w:rFonts w:ascii="Times New Roman" w:hAnsi="Times New Roman"/>
          <w:i/>
          <w:caps w:val="false"/>
          <w:smallCaps w:val="false"/>
          <w:sz w:val="20"/>
        </w:rPr>
        <w:t>ECT</w:t>
      </w:r>
      <w:r>
        <w:rPr>
          <w:rFonts w:ascii="Times New Roman" w:hAnsi="Times New Roman"/>
          <w:caps w:val="false"/>
          <w:smallCaps w:val="false"/>
          <w:sz w:val="20"/>
        </w:rPr>
        <w:t>) are used before or instead of standard antidepressant medications to treat patients with MDD.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respect to fasedienol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and certain investigational oral drug candidates in Phase 2 development.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 We are still assessing our competition for PH80 for the treatment of hot flashes due to menopause and for migraine headaches, PH15 to improve cognitive impairment and PH284 for the loss of appetite.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fasedienol,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two oral drug candidates in Phase 2 development that act on the alpha-7 nicotinic acetylcholine receptor, one in development by Bionomics and the other in development by Vanda. With respect to itruvone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Takeda and Xenon,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seek to establish collaborations, and, if we are not able to establish them on commercially reasonable terms, we may have to alter our development and commercialization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drug development programs and the potential commercialization of our investigational product candidates will require substantial additional cash to fund expenses. We may decide to collaborate with pharmaceutical and biotechnology companies for the development and potential commercialization of those product candidates, such as the AffaMed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derive revenue from research and development fees, license fees, milestone payments and royalties under any collaborative arrangement into which we enter, including the AffaMed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of our business depends primarily upon our ability to identify, develop and commercialize CNS product candidates with therapeutic and commercial potential. We may fail to pursue additional development opportunities for our current CNS product candidates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strategically focus on a limited number of research and development programs and product candidates and are currently focused primarily on development of fasedienol and itruvone. As a result, we may forego or delay pursuit of opportunities with other product candidates or for other potential CNS-related indications for fasedienol and/or itruvone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healthcare laws and regulations, which could expose us to criminal sanctions, civil penalties, contractual damages, reputational harm and diminished profits and future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payers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false statements statute prohibits knowingly and willfully falsifying, concealing or covering up a material fact or making any materially false statement in connection with the delivery of or payment for healthcare benefits, items or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Analogous state laws and regulations, such as state anti-kickback and false claims laws and transparency laws, may apply to sales or marketing arrangements and claims involving healthcare items or services reimbursed by non-governmental third-party payers, including private insurers, and some state laws require pharmaceutical companies to comply with the pharmaceutical industry’s voluntary compliance guidelines and the relevant compliance.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Guidance promulgated by the federal government in addition to requiring drug manufacturers to report information related to payments to physicians and other healthcare providers or marketing expenditures and drug pricing.</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60"/>
        <w:gridCol w:w="170"/>
        <w:gridCol w:w="8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Corrupt Practices Act and its application to marketing and selling practices as well as to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FDA and other regulatory agencies actively enforce the laws and regulations prohibiting the promotion of off-label uses. If we are found to have improperly promoted off-label uses, we may become subject to significant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and other regulatory agencies strictly regulate the promotional claims that may be made about prescription products, if approved. In particular, a product may not be promoted for uses that are not approved by the FDA or such other regulatory agencies as reflected in the product’s approved labeling. For example, if we receive FDA marketing approval for fasedienol as an needed treatment of anxiety in adults with SAD, physicians may prescribe fasedienol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approved, reimbursement policies could limit our ability to sell our CNS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 acceptance and sales of our product candidates will depend heavily on reimbursement policies and may be affected by healthcare reform measures. Government authorities and third-party payers,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payers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seek FDA Orphan Drug designation for one or more of our CNS product candidates. Even if we have obtained FDA Orphan Drug designation for a product candidate, there may be limits to the regulatory exclusivity afforded by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future growth may depend, in part, on our ability to penetrate foreign markets, where we would be subject to additional regulatory burdens and other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profitability may depend, in part, on our ability to commercialize our product candidates in foreign markets for which we may rely on collaboration with third parties such as our collaboration with AffaMed to develop and commercialize fasedienol in key Asian markets. If we commercialize our product candidates in foreign markets, we would be subject to additional risks and uncertainties, including:</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60"/>
        <w:gridCol w:w="170"/>
        <w:gridCol w:w="7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customers’ ability to obtain reimbursement for our product candidates in foreign markets;</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70"/>
        <w:gridCol w:w="7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directly control commercial activities because we are relying on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60"/>
        <w:gridCol w:w="170"/>
        <w:gridCol w:w="9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burden of complying with complex and changing foreign regulatory, tax, accounting and legal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70"/>
        <w:gridCol w:w="8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different medical practices and customs in foreign countries affecting acceptance in the marketplace;</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170"/>
        <w:gridCol w:w="3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import or export licensing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longer accounts receivable collection times;</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170"/>
        <w:gridCol w:w="2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longer lead times for shipping;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language barriers for technical training;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reduced protection of intellectual property rights, different standards of patentability and different availability of prior art in some foreign countries as compared with the U.S.;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170"/>
        <w:gridCol w:w="7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existence of additional potentially relevant third-party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rate fluctuations; and</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60"/>
        <w:gridCol w:w="170"/>
        <w:gridCol w:w="8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interpretation of contractual provisions governed by foreign laws in the event of a contract dispute.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Foreign sales of our product candidates could also be adversely affected by the imposition of governmental controls, political and economic instability, trade restrictions and changes in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incurred significant net losses in each fiscal year since our inception in 1998, including net losses of approximately $59.2 million and $47.8 million during our fiscal years ended March 31, 2023 and 2022, respectively, and approximately $13.5 million during the six months ended September 30, 2023. At March 31, 2023, we had an accumulated deficit of approximately $326.9 million and our auditors have included a qualification to their opinion on our Financial Statements at March 31, 2023 as a result of the uncertainty of our ability to continue as a going concern. Our accumulated deficit increased to approximately $340.3 million at September 30, 2023.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 to significantly increase in connection with planned nonclinical and clinical studies, and out-sourced manufacturing, of our product candidates.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become profitable depends upon our ability to generate recurring revenues. Through September 30, 2023, we have received approximately $23.0 million, consisting of receipts of non-dilutive cash payments from collaborators, sublicense revenue, including the $5.0 million cash payment received under the AffaMed Agreement during the quarter ended September 30, 2020, approximately $2.6 million of which remains recorded as deferred revenue at September 30, 2023, and research and development grant awards from the U.S. National Institute of Health (</w:t>
      </w:r>
      <w:r>
        <w:rPr>
          <w:rFonts w:ascii="Times New Roman" w:hAnsi="Times New Roman"/>
          <w:i/>
          <w:caps w:val="false"/>
          <w:smallCaps w:val="false"/>
          <w:sz w:val="20"/>
        </w:rPr>
        <w:t>NIH</w:t>
      </w:r>
      <w:r>
        <w:rPr>
          <w:rFonts w:ascii="Times New Roman" w:hAnsi="Times New Roman"/>
          <w:caps w:val="false"/>
          <w:smallCaps w:val="false"/>
          <w:sz w:val="20"/>
        </w:rPr>
        <w:t>).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our current and/or future CNS product candidate, or we enter into one or more development and commercialization agreements with respect our current CNS product candidates or one or more other future CNS product candidates. Our ability to generate recurring revenue depends on a number of factors, including, but not limited to, our ability to:</w:t>
      </w:r>
    </w:p>
    <w:p>
      <w:pPr>
        <w:pStyle w:val="TextBody"/>
        <w:bidi w:val="0"/>
        <w:spacing w:before="0" w:after="0"/>
        <w:ind w:left="0" w:right="0" w:hanging="0"/>
        <w:jc w:val="left"/>
        <w:rPr/>
      </w:pPr>
      <w:r>
        <w:rPr/>
        <w:t> </w:t>
      </w:r>
    </w:p>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 and successfully complete nonclinical and clinical trials that meet their prescribed endpoints;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 and successfully complete all safety studies required to obtain U.S. and foreign marketing approval for our CNS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timely complete and compose successful regulatory submissions such as NDAs or comparable documents for both the U.S. and foreign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commercialize our CNS product candidates, if approved, by developing a sales force and/or entering into collaborations with third parties for sales and marketing capabilities; and</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60"/>
        <w:gridCol w:w="170"/>
        <w:gridCol w:w="9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achieve market acceptance of our CNS product candidates in the medical community and with third-party payers.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Current volatile and/or recessionary economic conditions in the U.S. or abroad could adversely affect our business or our access to capital markets in a material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date, our principal sources of capital used to fund our development programs and other operations have been the net proceeds we received from sales of equity securities. We have and will continue to use significant capital for the development of our product candidates, and, as such, we expect to seek additional capital from future issuance(s) of our securities, which may consist of issuances of equity and/or debt securities, to fund our planned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Accordingly, our results of operations and the implementation of both our short-term and long-term business plan could be adversely affected by general conditions in the global economy, including conditions that are outside of our control.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Ensuring that we have adequate internal control over financial reporting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Implementing any future changes to our internal control over financial reporting may entail substantial costs to hire additional personnel, modify our existing processes and will take significant time to fully implement. These changes may not, however, be effective in establishing and maintaining the adequacy of our internal control, and any failure to maintain that adequacy, or consequent inability to produce accurate financial statements on a timely basis, could increase our operating costs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failure to maintain or implement required effective internal control over financial reporting, or any difficulties we encounter in their implementation, could result in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the Securities and Exchange Commission or other regulatory authorities, which could require additional financial and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Raising additional capital is likely to cause substantial dilution to our existing stockholders, may restrict our operations or require us to relinquish rights, and may require us to seek stockholder approval to authorize additional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issue shares of common stock, our current stockholders’ ownership interest in our company will be substantially diluted. In addition, the terms of any such securities may include liquidation or other preferences that materially adversely affect the rights of our stockholders. Debt financing, if available, would increase our fixed payment obligations and would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required to raise additional financing by issuing new securities with terms or rights superior to those of our existing securityholders, which could adversely affect the market price of shares of our common stock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require substantial additional financing to fund future operations, including research and development activities for our CNS product candidates,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ability to use net operating losses to offset future taxable income is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we had federal and state net operating loss carryforwards of approximately $191.9 million and $65.2 million, respectively, which began to expire in the year ended March 31, 2022 and will continue to expire in future periods.  Under Section 382 of the Internal Revenue Code of 1986, as amended (the </w:t>
      </w:r>
      <w:r>
        <w:rPr>
          <w:rFonts w:ascii="Times New Roman" w:hAnsi="Times New Roman"/>
          <w:i/>
          <w:caps w:val="false"/>
          <w:smallCaps w:val="false"/>
          <w:sz w:val="20"/>
        </w:rPr>
        <w:t>Code</w:t>
      </w:r>
      <w:r>
        <w:rPr>
          <w:rFonts w:ascii="Times New Roman" w:hAnsi="Times New Roman"/>
          <w:caps w:val="false"/>
          <w:smallCaps w:val="false"/>
          <w:sz w:val="20"/>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prior or future offerings of our debt and/or equity securities, private placements, sales of our common stock by our existing stockholders or additional sales of our common stock by us could have a material adverse effect on our results of operations in future years. Although we have completed significantly dilutive equity offerings, including the October 2023 Public Offering, we have not yet completed a study to assess whether an ownership change for purposes of Section 382 has occurred, or whether there have been multiple ownership changes since our inception, due to the significant costs and complexities associated with such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Company-Related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retain and attract senior management and key scientific personnel, we may be unable to successfully produce and develop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depends in part on our continued ability to attract, retain and motivate highly qualified management and technical personnel across multiple key functions, including, but not limited to clinical operations, finance, legal, human resources, information technology, CMC and quality assurance, regulatory affairs and medical affairs. We are highly dependent upon our Chief Executive Officer and Chief Financial Officer, as well as our other senior management personnel, advisors, consultants and scientific and clinical collaborators. As of the date of this Report, we have 33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have not historically experienced unique difficulties attracting and retaining qualified employees, we could experience such problems following our change in business plans as a result of the negative results of our PALISADE-1 clinical trial or in the future. As of the date of this Report, a total of nine employees have voluntarily resigned from their positions within the Company since the PALISADE-1 outcome was reported, including our Chief Commercial Officer and Chief Medical Officer. Work conducted by these individuals that furthers our current business plan has assumed by other employees and, when appropriate, based on clinical, regulatory and financial considerations, may be resumed by personnel hired in the future. However, competition for qualified personnel in the pharmaceuticals field is intense, and we may not be able to attract and retain quality personnel on acceptable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we seek to advance development of our product candidates, we will need to further expand our research and development capabilities and our contractual arrangements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financial performance and our ability to develop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and other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product liability lawsuits are brought against us, we may incur substantial liabilities and may be required to limit commercialization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any of the product candidates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60"/>
        <w:gridCol w:w="170"/>
        <w:gridCol w:w="5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decreased demand for product candidates that we may develop;</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170"/>
        <w:gridCol w:w="1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injury to our reputation;</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 of clinical trial participants;</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170"/>
        <w:gridCol w:w="3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costs to defend the related litigation;</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60"/>
        <w:gridCol w:w="170"/>
        <w:gridCol w:w="4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diversion of management’s time and our resources;</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substantial monetary awards to trial participants or patients; or</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recalls, withdrawals or labeling, marketing or promotional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inability to obtain and retain sufficient product liability insurance at an acceptable cost to protect against potential product liability claims could prevent or inhibit the commercialization of products we develop. Although we currently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Unfavorable global economic or political conditions could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or the third parties upon whom we depend may be adversely affected by natural disasters and our business continuity and disaster recovery plans may not adequately protect us from a serious disaster.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business and operations would suffer in the event of cybersecurity</w:t>
      </w:r>
      <w:r>
        <w:rPr>
          <w:rFonts w:ascii="Times New Roman" w:hAnsi="Times New Roman"/>
          <w:caps w:val="false"/>
          <w:smallCaps w:val="false"/>
          <w:sz w:val="20"/>
        </w:rPr>
        <w:t> </w:t>
      </w:r>
      <w:r>
        <w:rPr>
          <w:rFonts w:ascii="Times New Roman" w:hAnsi="Times New Roman"/>
          <w:b/>
          <w:i/>
          <w:caps w:val="false"/>
          <w:smallCaps w:val="false"/>
          <w:sz w:val="20"/>
        </w:rPr>
        <w:t>or other system failures.</w:t>
      </w:r>
      <w:r>
        <w:rPr>
          <w:rFonts w:ascii="Times New Roman" w:hAnsi="Times New Roman"/>
          <w:caps w:val="false"/>
          <w:smallCaps w:val="false"/>
          <w:sz w:val="20"/>
        </w:rPr>
        <w:t xml:space="preserve">  </w:t>
      </w:r>
      <w:r>
        <w:rPr>
          <w:rFonts w:ascii="Times New Roman" w:hAnsi="Times New Roman"/>
          <w:b/>
          <w:i/>
          <w:caps w:val="false"/>
          <w:smallCaps w:val="false"/>
          <w:sz w:val="20"/>
        </w:rPr>
        <w:t>Our business depends on complex information systems, and any failure to successfully maintain these systems or implement new systems to handle our changing needs could result in a material disruption of our product candidates</w:t>
      </w:r>
      <w:r>
        <w:rPr>
          <w:rFonts w:ascii="Times New Roman" w:hAnsi="Times New Roman"/>
          <w:caps w:val="false"/>
          <w:smallCaps w:val="false"/>
          <w:sz w:val="20"/>
        </w:rPr>
        <w:t xml:space="preserve">’ </w:t>
      </w:r>
      <w:r>
        <w:rPr>
          <w:rFonts w:ascii="Times New Roman" w:hAnsi="Times New Roman"/>
          <w:b/>
          <w:i/>
          <w:caps w:val="false"/>
          <w:smallCaps w:val="false"/>
          <w:sz w:val="20"/>
        </w:rPr>
        <w:t>development programs or otherwise materially harm our operations.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have not experienced any such system failure, accident, or security breach to date, if such an event were to occur and cause interruptions in our operations, it could result in a material disruption of our programs. For example, the loss of clinical trial data for fasedienol, itruvone,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Remote working arrangements could significantly increase the Company</w:t>
      </w:r>
      <w:r>
        <w:rPr>
          <w:rFonts w:ascii="Times New Roman" w:hAnsi="Times New Roman"/>
          <w:caps w:val="false"/>
          <w:smallCaps w:val="false"/>
          <w:sz w:val="20"/>
        </w:rPr>
        <w:t>’</w:t>
      </w:r>
      <w:r>
        <w:rPr>
          <w:rFonts w:ascii="Times New Roman" w:hAnsi="Times New Roman"/>
          <w:b/>
          <w:i/>
          <w:caps w:val="false"/>
          <w:smallCaps w:val="false"/>
          <w:sz w:val="20"/>
        </w:rPr>
        <w:t>s digital and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acquire businesses or product candidates, or form strategic alliances, in the future, and we may not realize the benefits of such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Current politics in the U.S. could diminish the value of the pharmaceutical industry, thereby diminishing the value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(PH94B), itruvone (PH10), PH80, PH15 and AV-101 and have licensed patents and patent applications related to certain stem cell technology.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other parties may have developed technologies that may be related or competitive to our product candidates and may have filed or may file patent applications and may have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the treatment of depression and does not provide any preclinical or clinical study data relating to depression or any other medical condition, disease or disorder. This post was not submitted to the United States Patent and Trademark Office (</w:t>
      </w:r>
      <w:r>
        <w:rPr>
          <w:rFonts w:ascii="Times New Roman" w:hAnsi="Times New Roman"/>
          <w:i/>
          <w:caps w:val="false"/>
          <w:smallCaps w:val="false"/>
          <w:sz w:val="20"/>
        </w:rPr>
        <w:t>USPTO</w:t>
      </w:r>
      <w:r>
        <w:rPr>
          <w:rFonts w:ascii="Times New Roman" w:hAnsi="Times New Roman"/>
          <w:caps w:val="false"/>
          <w:smallCaps w:val="false"/>
          <w:sz w:val="20"/>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rejections based on that post. Another source of uncertainty pertains to patent properties that were in-licensed by us for which prior art submissions were under the control of the licensor. We rely on these licensors to satisfy the relevant disclosure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 if patents do successfully issue, third parties may challenge the validity, enforceability, or scope of such issued patents or any other issued patents we own or license, which may result in such patents being narrowed, invalidated, or held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United States and foreign patents and patent applications may be subject to various types of infringement and validity proceedings, including interference proceedings, </w:t>
      </w:r>
      <w:r>
        <w:rPr>
          <w:rFonts w:ascii="Times New Roman" w:hAnsi="Times New Roman"/>
          <w:i/>
          <w:caps w:val="false"/>
          <w:smallCaps w:val="false"/>
          <w:sz w:val="20"/>
        </w:rPr>
        <w:t>ex parte</w:t>
      </w:r>
      <w:r>
        <w:rPr>
          <w:rFonts w:ascii="Times New Roman" w:hAnsi="Times New Roman"/>
          <w:caps w:val="false"/>
          <w:smallCaps w:val="false"/>
          <w:sz w:val="20"/>
        </w:rPr>
        <w:t xml:space="preserve"> reexamination, </w:t>
      </w:r>
      <w:r>
        <w:rPr>
          <w:rFonts w:ascii="Times New Roman" w:hAnsi="Times New Roman"/>
          <w:i/>
          <w:caps w:val="false"/>
          <w:smallCaps w:val="false"/>
          <w:sz w:val="20"/>
        </w:rPr>
        <w:t>inter partes</w:t>
      </w:r>
      <w:r>
        <w:rPr>
          <w:rFonts w:ascii="Times New Roman" w:hAnsi="Times New Roman"/>
          <w:caps w:val="false"/>
          <w:smallCaps w:val="false"/>
          <w:sz w:val="20"/>
        </w:rPr>
        <w:t>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or one of our licensing partners initiated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and the damages or other remedies awarded if we prevailed may not be commercially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the degree of future protection for our proprietary rights is uncertain, and we cannot ensure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any granted patents related to our product candidates or any pending patent applications, if granted and challenged by others, will include or maintain claims having a scope sufficient to protect[?]‐‐‐‐‐these product candidates or any other products or product candidates against generic or other competition, particularly considering that any patent rights to these compounds </w:t>
            </w:r>
            <w:r>
              <w:rPr>
                <w:rFonts w:ascii="Times New Roman;Times;serif" w:hAnsi="Times New Roman;Times;serif"/>
                <w:i/>
                <w:caps w:val="false"/>
                <w:smallCaps w:val="false"/>
                <w:sz w:val="20"/>
              </w:rPr>
              <w:t>per se</w:t>
            </w:r>
            <w:r>
              <w:rPr>
                <w:rFonts w:ascii="Times New Roman;Times;serif" w:hAnsi="Times New Roman;Times;serif"/>
                <w:caps w:val="false"/>
                <w:smallCaps w:val="false"/>
                <w:sz w:val="20"/>
              </w:rPr>
              <w:t> have expired;</w:t>
            </w:r>
          </w:p>
        </w:tc>
      </w:tr>
    </w:tbl>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of our pending patent applications will issue as patents at all;</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60"/>
        <w:gridCol w:w="170"/>
        <w:gridCol w:w="9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will be able to successfully commercialize our product candidates, if approved, before our relevant patents expire;</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were the first to make the inventions covered by each of our patents and pending patent applications;</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60"/>
        <w:gridCol w:w="170"/>
        <w:gridCol w:w="5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were the first to file patent applications for these inventions;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170"/>
        <w:gridCol w:w="7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will not develop similar or alternative technologies that do not infringe our patents;</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will not use pre-existing technology to effectively compete against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of our patents, if issued, will ultimately be found to be valid and enforceable, including on the basis of prior art relating to our patent applications and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patents currently held or issued to us in the future will provide a basis for an exclusive market for our commercially viable products, will provide us with any competitive advantages or will not be challenged by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60"/>
        <w:gridCol w:w="170"/>
        <w:gridCol w:w="8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will develop additional proprietary technologies or product candidates that are separately patentable; or</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commercial activities or products will not infringe upon the patents or proprietary rights of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Times New Roman" w:hAnsi="Times New Roman"/>
          <w:i/>
          <w:caps w:val="false"/>
          <w:smallCaps w:val="false"/>
          <w:sz w:val="20"/>
        </w:rPr>
        <w:t>inter partes</w:t>
      </w:r>
      <w:r>
        <w:rPr>
          <w:rFonts w:ascii="Times New Roman" w:hAnsi="Times New Roman"/>
          <w:caps w:val="false"/>
          <w:smallCaps w:val="false"/>
          <w:sz w:val="20"/>
        </w:rPr>
        <w:t xml:space="preserve"> reviews, or derivation proceedings before the United States or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biopharmaceutical industry is characterized by extensive litigation regarding patents and other intellectual property rights. Other parties may allege that our product candidates or the use of our technologies infringes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United States or the European Union.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intellectual property litigation or claims could force us to do one or more of the following:</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cease developing, selling or otherwise commercializing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 substantial damages for past use of the asserted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a license from the holder of the asserted intellectual property, which license may not be available on commercially reasonable terms, if at all;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case of trademark claims, redesign, or rename, some or all of our product candidates to avoid infringing the intellectual property rights of third parties, which may not be possible and, even if possible, could be costly and time-consuming.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these risks coming to fruition could have a material adverse effect on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claims challenging the inventorship or ownership of our patents and other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product candidates in all countries and jurisdictions throughout the world is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will need to decide where and when to pursue protection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we have done previously, we may need to obtain licenses from third parties to advance our research or allow the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170"/>
        <w:gridCol w:w="7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scope of rights granted under the license agreement and other interpretation-related issues;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and the extent to which our technology and processes infringe on intellectual property of the licensor that is not subject to the licensing agreement;</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170"/>
        <w:gridCol w:w="8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right to sublicense patent and other rights to third parties under collaborative development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diligence obligations with respect to the use of the licensed technology in relation to our development and commercialization of our product candidates, and what activities satisfy those diligence obligations;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ownership of inventions and know-how resulting from the joint creation or use of intellectual property by our licensors and us and our partners.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Some intellectual property that we have licensed may have been discovered through government-funded programs and thus may be subject to federal regulations such as </w:t>
      </w:r>
      <w:r>
        <w:rPr>
          <w:rFonts w:ascii="Times New Roman" w:hAnsi="Times New Roman"/>
          <w:caps w:val="false"/>
          <w:smallCaps w:val="false"/>
          <w:sz w:val="20"/>
        </w:rPr>
        <w:t>“</w:t>
      </w:r>
      <w:r>
        <w:rPr>
          <w:rFonts w:ascii="Times New Roman" w:hAnsi="Times New Roman"/>
          <w:b/>
          <w:i/>
          <w:caps w:val="false"/>
          <w:smallCaps w:val="false"/>
          <w:sz w:val="20"/>
        </w:rPr>
        <w:t>march-in</w:t>
      </w:r>
      <w:r>
        <w:rPr>
          <w:rFonts w:ascii="Times New Roman" w:hAnsi="Times New Roman"/>
          <w:caps w:val="false"/>
          <w:smallCaps w:val="false"/>
          <w:sz w:val="20"/>
        </w:rPr>
        <w:t xml:space="preserve">” </w:t>
      </w:r>
      <w:r>
        <w:rPr>
          <w:rFonts w:ascii="Times New Roman" w:hAnsi="Times New Roman"/>
          <w:b/>
          <w:i/>
          <w:caps w:val="false"/>
          <w:smallCaps w:val="false"/>
          <w:sz w:val="20"/>
        </w:rPr>
        <w:t>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Times New Roman" w:hAnsi="Times New Roman"/>
          <w:i/>
          <w:caps w:val="false"/>
          <w:smallCaps w:val="false"/>
          <w:sz w:val="20"/>
        </w:rPr>
        <w:t>Bayh-Dole Act</w:t>
      </w:r>
      <w:r>
        <w:rPr>
          <w:rFonts w:ascii="Times New Roman" w:hAnsi="Times New Roman"/>
          <w:caps w:val="false"/>
          <w:smallCaps w:val="false"/>
          <w:sz w:val="20"/>
        </w:rPr>
        <w:t>). These U.S. government rights in certain inventions developed under a government-funded program include a non-exclusive, non-transferable, irrevocable worldwide license to use inventions for any governmental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we apply for additional U.S. government funding and we discover compounds or drug candidates as a result of such funding, intellectual property rights to such discoveries may be subject to the applicable provisions of the Bayh-Dole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do not obtain additional protection under the Hatch-Waxman Amendments and similar foreign legislation by extending the patent terms and obtaining data exclusivity for our product candidates, our business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Changes in U.S</w:t>
      </w:r>
      <w:r>
        <w:rPr>
          <w:rFonts w:ascii="Times New Roman" w:hAnsi="Times New Roman"/>
          <w:caps w:val="false"/>
          <w:smallCaps w:val="false"/>
          <w:sz w:val="20"/>
        </w:rPr>
        <w:t xml:space="preserve">. </w:t>
      </w:r>
      <w:r>
        <w:rPr>
          <w:rFonts w:ascii="Times New Roman" w:hAnsi="Times New Roman"/>
          <w:b/>
          <w:i/>
          <w:caps w:val="false"/>
          <w:smallCaps w:val="false"/>
          <w:sz w:val="20"/>
        </w:rPr>
        <w:t>patent law could diminish the value of patents in general, thereby impairing our ability to protect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Times New Roman" w:hAnsi="Times New Roman"/>
          <w:i/>
          <w:caps w:val="false"/>
          <w:smallCaps w:val="false"/>
          <w:sz w:val="20"/>
        </w:rPr>
        <w:t>Mayo Collaborative Services, DBA Mayo Medical Laboratories, et al. v. Prometheus Laboratories, Inc.</w:t>
      </w:r>
      <w:r>
        <w:rPr>
          <w:rFonts w:ascii="Times New Roman" w:hAnsi="Times New Roman"/>
          <w:caps w:val="false"/>
          <w:smallCaps w:val="false"/>
          <w:sz w:val="20"/>
        </w:rPr>
        <w:t>,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Times New Roman" w:hAnsi="Times New Roman"/>
          <w:i/>
          <w:caps w:val="false"/>
          <w:smallCaps w:val="false"/>
          <w:sz w:val="20"/>
        </w:rPr>
        <w:t>Association for Molecular Pathology v. Myriad Genetics, Inc</w:t>
      </w:r>
      <w:r>
        <w:rPr>
          <w:rFonts w:ascii="Times New Roman" w:hAnsi="Times New Roman"/>
          <w:caps w:val="false"/>
          <w:smallCaps w:val="false"/>
          <w:sz w:val="20"/>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Times New Roman" w:hAnsi="Times New Roman"/>
          <w:i/>
          <w:caps w:val="false"/>
          <w:smallCaps w:val="false"/>
          <w:sz w:val="20"/>
        </w:rPr>
        <w:t>Ariosa Diagnostics, Inc. v. Sequenom, Inc</w:t>
      </w:r>
      <w:r>
        <w:rPr>
          <w:rFonts w:ascii="Times New Roman" w:hAnsi="Times New Roman"/>
          <w:caps w:val="false"/>
          <w:smallCaps w:val="false"/>
          <w:sz w:val="20"/>
        </w:rPr>
        <w:t>., the Court of Appeals for the Federal Circuit held that methods for detecting fetal genetic defects were not patent-eligible subject matter. Other more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damages resulting from claims that we or our employees have wrongfully used or disclosed alleged trade secrets of their former employers.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Numerous factors may limit any potential competitive advantage provided by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be able to develop and/or practice technology that is similar to our technology or aspects of our technology but that is not covered by the claims of patents, should such patents issue from our patent applications;</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might not have been the first to make the inventions covered by a pending patent application that we 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might not have been the first to file patent applications covering an invention;</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60"/>
        <w:gridCol w:w="170"/>
        <w:gridCol w:w="9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independently develop similar or alternative technologies without infringing our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60"/>
        <w:gridCol w:w="170"/>
        <w:gridCol w:w="6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pending patent applications that we own or license may not lead to issued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patents, if issued, that we own or license may not provide us with any competitive advantages, or may be held invalid or unenforceable or be narrowed, as a result of legal challenges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60"/>
        <w:gridCol w:w="170"/>
        <w:gridCol w:w="8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third parties may compete with us in jurisdictions where we do not pursue and obtain patent protection;</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60"/>
        <w:gridCol w:w="170"/>
        <w:gridCol w:w="8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not be able to obtain and/or maintain necessary or useful licenses on reasonable terms or at all; and</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patents of others may have an adverse effect on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Should any of these events occur, they could significantly harm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are currently in compliance with Nasdaq’s continued listing standards, no assurance can be given that we will continue to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 volatility may affect our stock price and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60"/>
        <w:gridCol w:w="170"/>
        <w:gridCol w:w="5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 resulting from uncertainty and general 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60"/>
        <w:gridCol w:w="170"/>
        <w:gridCol w:w="9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plans for, progress of or results from nonclinical and clinical development activities related to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the FDA or other regulatory authority to approve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new products, technologies, commercial relationships, acquisitions or other events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or failure of other CNS therapies;</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or legal developments in the U.S. and other countries;</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regarding our intellectual property portfolio;</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of our product candidates, if approved, to achieve commercial success;</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stock market prices and trading volumes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general market conditions and overall fluctuations in U.S. equity markets;</w:t>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60"/>
        <w:gridCol w:w="170"/>
        <w:gridCol w:w="3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variations in our quarterly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60"/>
        <w:gridCol w:w="170"/>
        <w:gridCol w:w="7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our financial guidance or securities analysts’ estimates of our financial performance;</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170"/>
        <w:gridCol w:w="2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accounting principles;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6385" w:type="dxa"/>
        <w:jc w:val="left"/>
        <w:tblInd w:w="0" w:type="dxa"/>
        <w:tblLayout w:type="fixed"/>
        <w:tblCellMar>
          <w:top w:w="0" w:type="dxa"/>
          <w:left w:w="0" w:type="dxa"/>
          <w:bottom w:w="0" w:type="dxa"/>
          <w:right w:w="0" w:type="dxa"/>
        </w:tblCellMar>
      </w:tblPr>
      <w:tblGrid>
        <w:gridCol w:w="60"/>
        <w:gridCol w:w="170"/>
        <w:gridCol w:w="6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raise additional capital and the terms on which we can raise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or purchases of large blocks of our common stock, including sales or purchases by our executive officers, directors and significant stockholders;</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60"/>
        <w:gridCol w:w="170"/>
        <w:gridCol w:w="6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establishment of short positions by holders or non-holders of our stock or warrants;</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or departures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60"/>
        <w:gridCol w:w="170"/>
        <w:gridCol w:w="7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discussion of us or our stock price by the press and by online investor communities; and</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and uncertainties described in these 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Future sales and issuances of our common stock may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or issuances of a substantial number of shares of our common stock in the public market, or the perception that such sales or issuances are occurring or might occur, including under our Sales Agreement, could significantly reduce the market price of our common stock and impair our ability to raise adequate capital through the sale of additional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equity research analysts do not publish research or reports about our business or if they issue unfavorable commentary or downgrade our common stock, the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may be additional issuances of shares of preferred stock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Restated Articles of Incorporation, as amended (the </w:t>
      </w:r>
      <w:r>
        <w:rPr>
          <w:rFonts w:ascii="Times New Roman" w:hAnsi="Times New Roman"/>
          <w:i/>
          <w:caps w:val="false"/>
          <w:smallCaps w:val="false"/>
          <w:sz w:val="20"/>
        </w:rPr>
        <w:t>Articles</w:t>
      </w:r>
      <w:r>
        <w:rPr>
          <w:rFonts w:ascii="Times New Roman" w:hAnsi="Times New Roman"/>
          <w:caps w:val="false"/>
          <w:smallCaps w:val="false"/>
          <w:sz w:val="20"/>
        </w:rPr>
        <w:t>), permit us to issue up to 10.0 million shares of preferred stock.  As a result, our Board could authorize the issuance of additional series of preferred stock in the futures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do not intend to pay dividends on our common stock and, consequently, our stockholders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achieve a return on their investment will depend on appreciation in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incur significant costs to ensure compliance with corporate governance, federal securities law and accounting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the reporting requirements of the Securities Exchange Act of 1934, as amended (</w:t>
      </w:r>
      <w:r>
        <w:rPr>
          <w:rFonts w:ascii="Times New Roman" w:hAnsi="Times New Roman"/>
          <w:i/>
          <w:caps w:val="false"/>
          <w:smallCaps w:val="false"/>
          <w:sz w:val="20"/>
        </w:rPr>
        <w:t>Exchange Act</w:t>
      </w:r>
      <w:r>
        <w:rPr>
          <w:rFonts w:ascii="Times New Roman" w:hAnsi="Times New Roman"/>
          <w:caps w:val="false"/>
          <w:smallCaps w:val="false"/>
          <w:sz w:val="20"/>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 xml:space="preserve">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Defaults upon Senior Secured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entered into a consulting agreement (the “</w:t>
      </w:r>
      <w:r>
        <w:rPr>
          <w:rFonts w:ascii="Times New Roman" w:hAnsi="Times New Roman"/>
          <w:i/>
          <w:caps w:val="false"/>
          <w:smallCaps w:val="false"/>
          <w:sz w:val="20"/>
        </w:rPr>
        <w:t>FitzPatrick Co. Consulting Agreement</w:t>
      </w:r>
      <w:r>
        <w:rPr>
          <w:rFonts w:ascii="Times New Roman" w:hAnsi="Times New Roman"/>
          <w:caps w:val="false"/>
          <w:smallCaps w:val="false"/>
          <w:sz w:val="20"/>
        </w:rPr>
        <w:t xml:space="preserve">”) with FitzPatrick Co. LLC, a consulting firm for which Margaret FitzPatrick, an independent member of our Board, is Chief Executive Officer, to provide corporate development and public relations advisory services. The FitzPatrick Co. Consulting Agreement, as amended, was set to expire on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However, the Company and FitzPatrick Co. LLC mutually agreed to conclude the term of the FitzPatrick Co Consulting Agreement effective </w:t>
      </w:r>
      <w:r>
        <w:rPr>
          <w:rStyle w:val="Emphasis"/>
          <w:rFonts w:ascii="Times New Roman" w:hAnsi="Times New Roman"/>
          <w:caps w:val="false"/>
          <w:smallCaps w:val="false"/>
          <w:sz w:val="20"/>
        </w:rPr>
        <w:t xml:space="preserve">October 1, 2023 </w:t>
      </w:r>
      <w:r>
        <w:rPr>
          <w:rFonts w:ascii="Times New Roman" w:hAnsi="Times New Roman"/>
          <w:caps w:val="false"/>
          <w:smallCaps w:val="false"/>
          <w:sz w:val="20"/>
        </w:rPr>
        <w:t xml:space="preserve">by entering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to the FitzPatrick Co Consulting Agreement on </w:t>
      </w:r>
      <w:r>
        <w:rPr>
          <w:rStyle w:val="Emphasis"/>
          <w:rFonts w:ascii="Times New Roman" w:hAnsi="Times New Roman"/>
          <w:caps w:val="false"/>
          <w:smallCaps w:val="false"/>
          <w:sz w:val="20"/>
        </w:rPr>
        <w:t>November 9, 2023 (</w:t>
      </w:r>
      <w:r>
        <w:rPr>
          <w:rFonts w:ascii="Times New Roman" w:hAnsi="Times New Roman"/>
          <w:caps w:val="false"/>
          <w:smallCaps w:val="false"/>
          <w:sz w:val="20"/>
        </w:rPr>
        <w:t>the “</w:t>
      </w:r>
      <w:r>
        <w:rPr>
          <w:rFonts w:ascii="Times New Roman" w:hAnsi="Times New Roman"/>
          <w:i/>
          <w:caps w:val="false"/>
          <w:smallCaps w:val="false"/>
          <w:sz w:val="20"/>
        </w:rPr>
        <w:t>FitzPatrick Co Amendment</w:t>
      </w:r>
      <w:r>
        <w:rPr>
          <w:rFonts w:ascii="Times New Roman" w:hAnsi="Times New Roman"/>
          <w:caps w:val="false"/>
          <w:smallCaps w:val="false"/>
          <w:sz w:val="20"/>
        </w:rPr>
        <w:t>”) as all matters set forth in the statement of work were completed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foregoing description of the FitzPatrick Co Amendment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complete and is qualified in its entirety by reference to the full text of the FitzPatrick Co Amendment, which is attached to this Report as Exhibit </w:t>
      </w:r>
      <w:r>
        <w:rPr>
          <w:rStyle w:val="Emphasis"/>
          <w:rFonts w:ascii="Times New Roman" w:hAnsi="Times New Roman"/>
          <w:caps w:val="false"/>
          <w:smallCaps w:val="false"/>
          <w:sz w:val="2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
        <w:gridCol w:w="60"/>
        <w:gridCol w:w="940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4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4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caps w:val="false"/>
                  <w:smallCaps w:val="false"/>
                  <w:sz w:val="20"/>
                  <w:u w:val="single"/>
                </w:rPr>
                <w:t>1.1</w:t>
              </w:r>
            </w:hyperlink>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Underwriting Agreement, dated as of October 2, 2023, by and among the Company, Jefferies LLC, Stifel, Nicolaus &amp; Company, Incorporated and William Blair &amp; Company, L.L.C., incorporated by reference from Exhibit 1.1 to the Company’s Current Report on Form 8-K filed on October 4, 2023.</w:t>
            </w:r>
          </w:p>
        </w:tc>
      </w:tr>
      <w:tr>
        <w:trPr/>
        <w:tc>
          <w:tcPr>
            <w:tcW w:w="74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u w:val="single"/>
                </w:rPr>
                <w:t>4.1</w:t>
              </w:r>
            </w:hyperlink>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of Pre-Funded Warrant (October 2023 Public Offering), incorporated by reference from Exhibit 4.1 to the Company’s Current Report on Form 8-K filed on October 4, 2023.</w:t>
            </w:r>
          </w:p>
        </w:tc>
      </w:tr>
      <w:tr>
        <w:trPr/>
        <w:tc>
          <w:tcPr>
            <w:tcW w:w="740"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caps w:val="false"/>
                  <w:smallCaps w:val="false"/>
                  <w:sz w:val="20"/>
                  <w:u w:val="single"/>
                </w:rPr>
                <w:t>4.2</w:t>
              </w:r>
            </w:hyperlink>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of T1 Warrant (October 2023 Public Offering), incorporated by reference from Exhibit 4.2 to the Company’s Current Report on Form 8-K filed on October 4, 2023.</w:t>
            </w:r>
          </w:p>
        </w:tc>
      </w:tr>
      <w:tr>
        <w:trPr/>
        <w:tc>
          <w:tcPr>
            <w:tcW w:w="740"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caps w:val="false"/>
                  <w:smallCaps w:val="false"/>
                  <w:sz w:val="20"/>
                  <w:u w:val="single"/>
                </w:rPr>
                <w:t>4.3</w:t>
              </w:r>
            </w:hyperlink>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of T2 Warrant (October 2023 Public Offering), incorporated by reference from Exhibit 4.3 to the Company’s Current Report on Form 8-K filed on October 4, 2023.</w:t>
            </w:r>
          </w:p>
        </w:tc>
      </w:tr>
      <w:tr>
        <w:trPr/>
        <w:tc>
          <w:tcPr>
            <w:tcW w:w="740"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caps w:val="false"/>
                  <w:smallCaps w:val="false"/>
                  <w:sz w:val="20"/>
                  <w:u w:val="single"/>
                </w:rPr>
                <w:t>10.1</w:t>
              </w:r>
            </w:hyperlink>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 Agreement, dated October 24, 2023, by and between Vistagen Therapeutics, Inc. and Joshua Prince, incorporated by reference from Exhibit 10.1 to the Company’s Current Report on Form 8-K filed on October 26, 2023.</w:t>
            </w:r>
          </w:p>
        </w:tc>
      </w:tr>
      <w:tr>
        <w:trPr/>
        <w:tc>
          <w:tcPr>
            <w:tcW w:w="740" w:type="dxa"/>
            <w:tcBorders/>
            <w:vAlign w:val="center"/>
          </w:tcPr>
          <w:p>
            <w:pPr>
              <w:pStyle w:val="TableContents"/>
              <w:bidi w:val="0"/>
              <w:spacing w:before="0" w:after="0"/>
              <w:ind w:left="0" w:right="0" w:hanging="0"/>
              <w:jc w:val="left"/>
              <w:rPr/>
            </w:pPr>
            <w:hyperlink w:anchor="ex_594538.htm">
              <w:r>
                <w:rPr>
                  <w:rStyle w:val="InternetLink"/>
                  <w:rFonts w:ascii="Times New Roman;Times;serif" w:hAnsi="Times New Roman;Times;serif"/>
                  <w:caps w:val="false"/>
                  <w:smallCaps w:val="false"/>
                  <w:sz w:val="20"/>
                </w:rPr>
                <w:t>10.2*</w:t>
              </w:r>
            </w:hyperlink>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No. 4 to Consulting Agreement by and between the Company and FitzPatirck Co. LLC, dated November 9, 2023.</w:t>
            </w:r>
          </w:p>
        </w:tc>
      </w:tr>
      <w:tr>
        <w:trPr/>
        <w:tc>
          <w:tcPr>
            <w:tcW w:w="740" w:type="dxa"/>
            <w:tcBorders/>
            <w:vAlign w:val="center"/>
          </w:tcPr>
          <w:p>
            <w:pPr>
              <w:pStyle w:val="TableContents"/>
              <w:bidi w:val="0"/>
              <w:spacing w:before="0" w:after="0"/>
              <w:ind w:left="0" w:right="0" w:hanging="0"/>
              <w:jc w:val="left"/>
              <w:rPr/>
            </w:pPr>
            <w:hyperlink w:anchor="ex_590771.htm">
              <w:r>
                <w:rPr>
                  <w:rStyle w:val="InternetLink"/>
                  <w:rFonts w:ascii="Times New Roman;Times;serif" w:hAnsi="Times New Roman;Times;serif"/>
                  <w:caps w:val="false"/>
                  <w:smallCaps w:val="false"/>
                  <w:sz w:val="20"/>
                </w:rPr>
                <w:t>31.1*</w:t>
              </w:r>
            </w:hyperlink>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the Principal Executive Officer required by Rule 13a-14(a) under the Securities Exchange Act of 1934, as amended, as adopted pursuant to Section 302 of the Sarbanes-Oxley Act of 2002</w:t>
            </w:r>
          </w:p>
        </w:tc>
      </w:tr>
      <w:tr>
        <w:trPr/>
        <w:tc>
          <w:tcPr>
            <w:tcW w:w="740" w:type="dxa"/>
            <w:tcBorders/>
            <w:vAlign w:val="center"/>
          </w:tcPr>
          <w:p>
            <w:pPr>
              <w:pStyle w:val="TableContents"/>
              <w:bidi w:val="0"/>
              <w:spacing w:before="0" w:after="0"/>
              <w:ind w:left="0" w:right="0" w:hanging="0"/>
              <w:jc w:val="left"/>
              <w:rPr/>
            </w:pPr>
            <w:hyperlink w:anchor="ex_590772.htm">
              <w:r>
                <w:rPr>
                  <w:rStyle w:val="InternetLink"/>
                  <w:rFonts w:ascii="Times New Roman;Times;serif" w:hAnsi="Times New Roman;Times;serif"/>
                  <w:caps w:val="false"/>
                  <w:smallCaps w:val="false"/>
                  <w:sz w:val="20"/>
                </w:rPr>
                <w:t>31.2*</w:t>
              </w:r>
            </w:hyperlink>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the Principal Financial Officer required by Rule 13a-14(a) under the Securities Exchange Act of 1934, as amended, as adopted pursuant to Section 302 of the Sarbanes-Oxley Act of 2002</w:t>
            </w:r>
          </w:p>
        </w:tc>
      </w:tr>
      <w:tr>
        <w:trPr/>
        <w:tc>
          <w:tcPr>
            <w:tcW w:w="740" w:type="dxa"/>
            <w:tcBorders/>
            <w:vAlign w:val="center"/>
          </w:tcPr>
          <w:p>
            <w:pPr>
              <w:pStyle w:val="TableContents"/>
              <w:bidi w:val="0"/>
              <w:spacing w:before="0" w:after="0"/>
              <w:ind w:left="0" w:right="0" w:hanging="0"/>
              <w:jc w:val="left"/>
              <w:rPr/>
            </w:pPr>
            <w:hyperlink w:anchor="ex_590773.htm">
              <w:r>
                <w:rPr>
                  <w:rStyle w:val="InternetLink"/>
                  <w:rFonts w:ascii="Times New Roman;Times;serif" w:hAnsi="Times New Roman;Times;serif"/>
                  <w:caps w:val="false"/>
                  <w:smallCaps w:val="false"/>
                  <w:sz w:val="20"/>
                </w:rPr>
                <w:t>32*</w:t>
              </w:r>
            </w:hyperlink>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the Principal Executive and Financial Officers required by Rule 13a-14(b) and Section 1350 of Chapter 63 of Title 18 of the United States Code, as adopted pursuant to Section 906 of the Sarbanes-Oxley Act of 2002</w:t>
            </w:r>
          </w:p>
        </w:tc>
      </w:tr>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instance document does not appear in the Interactive Data File because its XBRL tags are embedded within the Inline XBRL document.</w:t>
            </w:r>
          </w:p>
        </w:tc>
      </w:tr>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w:t>
            </w:r>
          </w:p>
        </w:tc>
      </w:tr>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w:t>
            </w:r>
          </w:p>
        </w:tc>
      </w:tr>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w:t>
            </w:r>
          </w:p>
        </w:tc>
      </w:tr>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w:t>
            </w:r>
          </w:p>
        </w:tc>
      </w:tr>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w:t>
            </w:r>
          </w:p>
        </w:tc>
      </w:tr>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9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Filed herewith.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2105"/>
        <w:gridCol w:w="3740"/>
      </w:tblGrid>
      <w:tr>
        <w:trPr/>
        <w:tc>
          <w:tcPr>
            <w:tcW w:w="210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November 9, 2023</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Shawn K. Singh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Chief Executive Officer </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p>
            <w:pPr>
              <w:pStyle w:val="TableContents"/>
              <w:bidi w:val="0"/>
              <w:spacing w:before="0" w:after="0"/>
              <w:ind w:left="0" w:right="0" w:hanging="0"/>
              <w:jc w:val="left"/>
              <w:rPr>
                <w:caps w:val="false"/>
                <w:smallCaps w:val="false"/>
              </w:rPr>
            </w:pPr>
            <w:r>
              <w:rPr>
                <w:caps w:val="false"/>
                <w:smallCaps w:val="false"/>
              </w:rPr>
              <w:t> </w:t>
            </w:r>
          </w:p>
        </w:tc>
      </w:tr>
      <w:tr>
        <w:trPr/>
        <w:tc>
          <w:tcPr>
            <w:tcW w:w="21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Cynthia L. Anderson</w:t>
            </w:r>
          </w:p>
        </w:tc>
      </w:tr>
      <w:tr>
        <w:trPr/>
        <w:tc>
          <w:tcPr>
            <w:tcW w:w="21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Cynthia L. Anderson</w:t>
            </w:r>
          </w:p>
        </w:tc>
      </w:tr>
      <w:tr>
        <w:trPr/>
        <w:tc>
          <w:tcPr>
            <w:tcW w:w="21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7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Chief Financial Officer </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53 </w:t>
      </w:r>
    </w:p>
    <w:p>
      <w:pPr>
        <w:pStyle w:val="TextBody"/>
        <w:bidi w:val="0"/>
        <w:spacing w:before="0" w:after="0"/>
        <w:ind w:left="0" w:right="0" w:hanging="0"/>
        <w:jc w:val="right"/>
        <w:rPr>
          <w:rFonts w:ascii="Times New Roman;Times;serif" w:hAnsi="Times New Roman;Times;serif"/>
          <w:sz w:val="20"/>
        </w:rPr>
      </w:pPr>
      <w:bookmarkStart w:id="2" w:name="ex_594538.htm"/>
      <w:bookmarkStart w:id="3" w:name="ksex_594538"/>
      <w:bookmarkEnd w:id="2"/>
      <w:bookmarkEnd w:id="3"/>
      <w:r>
        <w:rPr>
          <w:rFonts w:ascii="Times New Roman;Times;serif" w:hAnsi="Times New Roman;Times;serif"/>
          <w:b/>
          <w:sz w:val="20"/>
        </w:rPr>
        <w:t>Exhibit 10.2</w:t>
      </w:r>
      <w:r>
        <w:rPr>
          <w:rFonts w:ascii="Times New Roman;Times;serif" w:hAnsi="Times New Roman;Times;serif"/>
          <w:sz w:val="20"/>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AMENDMENT NO. 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CONSULTING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This Amendment (“Amendment No. 4”) is made between </w:t>
      </w:r>
      <w:r>
        <w:rPr>
          <w:rFonts w:ascii="Times New Roman" w:hAnsi="Times New Roman"/>
          <w:b/>
          <w:caps w:val="false"/>
          <w:smallCaps w:val="false"/>
          <w:sz w:val="20"/>
        </w:rPr>
        <w:t>Vistagen Therapeutics, Inc.</w:t>
      </w:r>
      <w:r>
        <w:rPr>
          <w:rFonts w:ascii="Times New Roman" w:hAnsi="Times New Roman"/>
          <w:caps w:val="false"/>
          <w:smallCaps w:val="false"/>
          <w:sz w:val="20"/>
        </w:rPr>
        <w:t xml:space="preserve">, a Nevada corporation having an address at 343 Allerton Avenue, South San Francisco, California 94080 (“Vistagen”), and </w:t>
      </w:r>
      <w:r>
        <w:rPr>
          <w:rFonts w:ascii="Times New Roman" w:hAnsi="Times New Roman"/>
          <w:b/>
          <w:caps w:val="false"/>
          <w:smallCaps w:val="false"/>
          <w:sz w:val="20"/>
        </w:rPr>
        <w:t>FitzPatrick &amp; Co. LLC</w:t>
      </w:r>
      <w:r>
        <w:rPr>
          <w:rFonts w:ascii="Times New Roman" w:hAnsi="Times New Roman"/>
          <w:caps w:val="false"/>
          <w:smallCaps w:val="false"/>
          <w:sz w:val="20"/>
        </w:rPr>
        <w:t>, a Delaware limited liability company, having an address at 2023 Allen Place, NW, Washington DC 20009 (“Consultant”), and is effective as of October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Vistagen and Consultant entered into a Consulting Services Agreement dated January 21, 2022, as amended by Amendment No. 1 dated June 1, 2022, as amended by Amendment No. 2 dated January 1, 2023, and as amended by Amendment No. 3 dated July 1, 2023 (collectively, the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the parties mutually wish to conclude the term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and Consultant, therefore,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 The term of this Agreement shall expire on October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expressly provided in this Amendment No. 4, the terms of the Agreement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party is signing this agreement with the party’s authorized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584" w:type="dxa"/>
        <w:jc w:val="left"/>
        <w:tblInd w:w="0" w:type="dxa"/>
        <w:tblLayout w:type="fixed"/>
        <w:tblCellMar>
          <w:top w:w="0" w:type="dxa"/>
          <w:left w:w="0" w:type="dxa"/>
          <w:bottom w:w="0" w:type="dxa"/>
          <w:right w:w="0" w:type="dxa"/>
        </w:tblCellMar>
      </w:tblPr>
      <w:tblGrid>
        <w:gridCol w:w="661"/>
        <w:gridCol w:w="2418"/>
        <w:gridCol w:w="60"/>
        <w:gridCol w:w="650"/>
        <w:gridCol w:w="2795"/>
      </w:tblGrid>
      <w:tr>
        <w:trPr/>
        <w:tc>
          <w:tcPr>
            <w:tcW w:w="3079"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AGREED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AGREED TO: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FITZPATRICK &amp; CO., LLC</w:t>
            </w:r>
          </w:p>
        </w:tc>
      </w:tr>
      <w:tr>
        <w:trPr/>
        <w:tc>
          <w:tcPr>
            <w:tcW w:w="661"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283"/>
              <w:jc w:val="left"/>
              <w:rPr/>
            </w:pPr>
            <w:r>
              <w:rPr/>
              <w:t>By:</w:t>
            </w:r>
          </w:p>
        </w:tc>
        <w:tc>
          <w:tcPr>
            <w:tcW w:w="2418" w:type="dxa"/>
            <w:tcBorders>
              <w:bottom w:val="single" w:sz="2" w:space="0" w:color="000000"/>
            </w:tcBorders>
            <w:tcMar>
              <w:bottom w:w="28" w:type="dxa"/>
            </w:tcMar>
            <w:vAlign w:val="center"/>
          </w:tcPr>
          <w:p>
            <w:pPr>
              <w:pStyle w:val="TableContents"/>
              <w:bidi w:val="0"/>
              <w:spacing w:before="0" w:after="283"/>
              <w:jc w:val="left"/>
              <w:rPr/>
            </w:pPr>
            <w:r>
              <w:rPr/>
              <w:t>/s/ Shawn K. Singh, J.D.</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795" w:type="dxa"/>
            <w:tcBorders>
              <w:bottom w:val="single" w:sz="2" w:space="0" w:color="000000"/>
            </w:tcBorders>
            <w:tcMar>
              <w:bottom w:w="28" w:type="dxa"/>
            </w:tcMar>
            <w:vAlign w:val="center"/>
          </w:tcPr>
          <w:p>
            <w:pPr>
              <w:pStyle w:val="TableContents"/>
              <w:bidi w:val="0"/>
              <w:spacing w:before="0" w:after="283"/>
              <w:jc w:val="left"/>
              <w:rPr/>
            </w:pPr>
            <w:r>
              <w:rPr/>
              <w:t>/s/ Margaret Mary FitzPatrick</w:t>
            </w:r>
          </w:p>
        </w:tc>
      </w:tr>
      <w:tr>
        <w:trPr/>
        <w:tc>
          <w:tcPr>
            <w:tcW w:w="661"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283"/>
              <w:jc w:val="left"/>
              <w:rPr/>
            </w:pPr>
            <w:r>
              <w:rPr/>
              <w:t>Name:</w:t>
            </w:r>
          </w:p>
        </w:tc>
        <w:tc>
          <w:tcPr>
            <w:tcW w:w="2418" w:type="dxa"/>
            <w:tcBorders>
              <w:bottom w:val="single" w:sz="2" w:space="0" w:color="000000"/>
            </w:tcBorders>
            <w:tcMar>
              <w:bottom w:w="28" w:type="dxa"/>
            </w:tcMar>
            <w:vAlign w:val="center"/>
          </w:tcPr>
          <w:p>
            <w:pPr>
              <w:pStyle w:val="TableContents"/>
              <w:bidi w:val="0"/>
              <w:spacing w:before="0" w:after="283"/>
              <w:jc w:val="left"/>
              <w:rPr/>
            </w:pPr>
            <w:r>
              <w:rPr/>
              <w:t>Shawn K. Singh, J.D.</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795" w:type="dxa"/>
            <w:tcBorders>
              <w:bottom w:val="single" w:sz="2" w:space="0" w:color="000000"/>
            </w:tcBorders>
            <w:tcMar>
              <w:bottom w:w="28" w:type="dxa"/>
            </w:tcMar>
            <w:vAlign w:val="center"/>
          </w:tcPr>
          <w:p>
            <w:pPr>
              <w:pStyle w:val="TableContents"/>
              <w:bidi w:val="0"/>
              <w:spacing w:before="0" w:after="283"/>
              <w:jc w:val="left"/>
              <w:rPr/>
            </w:pPr>
            <w:r>
              <w:rPr/>
              <w:t>Margaret Mary FitzPatrick</w:t>
            </w:r>
          </w:p>
        </w:tc>
      </w:tr>
      <w:tr>
        <w:trPr/>
        <w:tc>
          <w:tcPr>
            <w:tcW w:w="661"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283"/>
              <w:jc w:val="left"/>
              <w:rPr/>
            </w:pPr>
            <w:r>
              <w:rPr/>
              <w:t>Title:</w:t>
            </w:r>
          </w:p>
        </w:tc>
        <w:tc>
          <w:tcPr>
            <w:tcW w:w="2418" w:type="dxa"/>
            <w:tcBorders>
              <w:bottom w:val="single" w:sz="2" w:space="0" w:color="000000"/>
            </w:tcBorders>
            <w:tcMar>
              <w:bottom w:w="28" w:type="dxa"/>
            </w:tcMar>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795" w:type="dxa"/>
            <w:tcBorders>
              <w:bottom w:val="single" w:sz="2" w:space="0" w:color="000000"/>
            </w:tcBorders>
            <w:tcMar>
              <w:bottom w:w="28" w:type="dxa"/>
            </w:tcMar>
            <w:vAlign w:val="center"/>
          </w:tcPr>
          <w:p>
            <w:pPr>
              <w:pStyle w:val="TableContents"/>
              <w:bidi w:val="0"/>
              <w:spacing w:before="0" w:after="283"/>
              <w:jc w:val="left"/>
              <w:rPr/>
            </w:pPr>
            <w:r>
              <w:rPr/>
              <w:t>Chief Executive Officer</w:t>
            </w:r>
          </w:p>
        </w:tc>
      </w:tr>
      <w:tr>
        <w:trPr/>
        <w:tc>
          <w:tcPr>
            <w:tcW w:w="661"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283"/>
              <w:jc w:val="left"/>
              <w:rPr/>
            </w:pPr>
            <w:r>
              <w:rPr/>
              <w:t>Date:</w:t>
            </w:r>
          </w:p>
        </w:tc>
        <w:tc>
          <w:tcPr>
            <w:tcW w:w="2418" w:type="dxa"/>
            <w:tcBorders>
              <w:bottom w:val="single" w:sz="2" w:space="0" w:color="000000"/>
            </w:tcBorders>
            <w:tcMar>
              <w:bottom w:w="28" w:type="dxa"/>
            </w:tcMar>
            <w:vAlign w:val="center"/>
          </w:tcPr>
          <w:p>
            <w:pPr>
              <w:pStyle w:val="TableContents"/>
              <w:bidi w:val="0"/>
              <w:spacing w:before="0" w:after="283"/>
              <w:jc w:val="left"/>
              <w:rPr/>
            </w:pPr>
            <w:r>
              <w:rPr/>
              <w:t>November 9, 2023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Date:</w:t>
            </w:r>
          </w:p>
        </w:tc>
        <w:tc>
          <w:tcPr>
            <w:tcW w:w="2795" w:type="dxa"/>
            <w:tcBorders>
              <w:bottom w:val="single" w:sz="2" w:space="0" w:color="000000"/>
            </w:tcBorders>
            <w:tcMar>
              <w:bottom w:w="28" w:type="dxa"/>
            </w:tcMar>
            <w:vAlign w:val="center"/>
          </w:tcPr>
          <w:p>
            <w:pPr>
              <w:pStyle w:val="TableContents"/>
              <w:bidi w:val="0"/>
              <w:spacing w:before="0" w:after="283"/>
              <w:jc w:val="left"/>
              <w:rPr/>
            </w:pPr>
            <w:r>
              <w:rPr/>
              <w:t>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Page </w:t>
      </w:r>
      <w:r>
        <w:rPr>
          <w:rFonts w:ascii="Times New Roman" w:hAnsi="Times New Roman"/>
          <w:b/>
          <w:caps w:val="false"/>
          <w:smallCaps w:val="false"/>
          <w:sz w:val="2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4" w:name="ex_590771.htm"/>
      <w:bookmarkStart w:id="5" w:name="ksex_590771"/>
      <w:bookmarkEnd w:id="4"/>
      <w:bookmarkEnd w:id="5"/>
      <w:r>
        <w:rPr>
          <w:rFonts w:ascii="Times New Roman" w:hAnsi="Times New Roman"/>
          <w:b/>
          <w:sz w:val="20"/>
        </w:rPr>
        <w:t>EXHIBIT 31.1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Shawn K. Singh,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805"/>
        <w:gridCol w:w="2600"/>
      </w:tblGrid>
      <w:tr>
        <w:trPr/>
        <w:tc>
          <w:tcPr>
            <w:tcW w:w="1805" w:type="dxa"/>
            <w:tcBorders/>
            <w:vAlign w:val="center"/>
          </w:tcPr>
          <w:p>
            <w:pPr>
              <w:pStyle w:val="TableContents"/>
              <w:bidi w:val="0"/>
              <w:spacing w:before="0" w:after="283"/>
              <w:jc w:val="left"/>
              <w:rPr/>
            </w:pPr>
            <w:r>
              <w:rPr/>
              <w:t>November 9, 2023</w:t>
            </w:r>
          </w:p>
        </w:tc>
        <w:tc>
          <w:tcPr>
            <w:tcW w:w="2600" w:type="dxa"/>
            <w:tcBorders/>
            <w:vAlign w:val="center"/>
          </w:tcPr>
          <w:p>
            <w:pPr>
              <w:pStyle w:val="TableContents"/>
              <w:bidi w:val="0"/>
              <w:spacing w:before="0" w:after="283"/>
              <w:jc w:val="left"/>
              <w:rPr/>
            </w:pPr>
            <w:r>
              <w:rPr>
                <w:u w:val="single"/>
              </w:rPr>
              <w:t xml:space="preserve">/s/ </w:t>
            </w:r>
            <w:r>
              <w:rPr>
                <w:i/>
                <w:u w:val="single"/>
              </w:rPr>
              <w:t>Shawn K. Singh</w:t>
            </w:r>
          </w:p>
        </w:tc>
      </w:tr>
      <w:tr>
        <w:trPr/>
        <w:tc>
          <w:tcPr>
            <w:tcW w:w="180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Shawn K. Singh</w:t>
            </w:r>
          </w:p>
        </w:tc>
      </w:tr>
      <w:tr>
        <w:trPr/>
        <w:tc>
          <w:tcPr>
            <w:tcW w:w="180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Principal Executive Officer</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6" w:name="ex_590772.htm"/>
      <w:bookmarkStart w:id="7" w:name="ksex_590772"/>
      <w:bookmarkEnd w:id="6"/>
      <w:bookmarkEnd w:id="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Cynthia L. Anderson,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805"/>
        <w:gridCol w:w="2525"/>
      </w:tblGrid>
      <w:tr>
        <w:trPr/>
        <w:tc>
          <w:tcPr>
            <w:tcW w:w="1805" w:type="dxa"/>
            <w:tcBorders/>
            <w:vAlign w:val="center"/>
          </w:tcPr>
          <w:p>
            <w:pPr>
              <w:pStyle w:val="TableContents"/>
              <w:bidi w:val="0"/>
              <w:spacing w:before="0" w:after="283"/>
              <w:jc w:val="left"/>
              <w:rPr/>
            </w:pPr>
            <w:r>
              <w:rPr/>
              <w:t>November 9, 2023</w:t>
            </w:r>
          </w:p>
        </w:tc>
        <w:tc>
          <w:tcPr>
            <w:tcW w:w="252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u w:val="single"/>
              </w:rPr>
              <w:t xml:space="preserve">/s/ </w:t>
            </w:r>
            <w:r>
              <w:rPr>
                <w:i/>
                <w:u w:val="single"/>
              </w:rPr>
              <w:t>Cynthia L. Anderson</w:t>
            </w:r>
          </w:p>
        </w:tc>
      </w:tr>
      <w:tr>
        <w:trPr/>
        <w:tc>
          <w:tcPr>
            <w:tcW w:w="180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Cynthia L. Anderson</w:t>
            </w:r>
          </w:p>
        </w:tc>
      </w:tr>
      <w:tr>
        <w:trPr/>
        <w:tc>
          <w:tcPr>
            <w:tcW w:w="180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8" w:name="ex_590773.htm"/>
      <w:bookmarkStart w:id="9" w:name="ksex_590773"/>
      <w:bookmarkEnd w:id="8"/>
      <w:bookmarkEnd w:id="9"/>
      <w:r>
        <w:rPr>
          <w:rFonts w:ascii="Times New Roman" w:hAnsi="Times New Roman"/>
          <w:b/>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for the quarter ended September 30, 2023, as filed with the Securities and Exchange Commission on the date hereof (the “</w:t>
      </w:r>
      <w:r>
        <w:rPr>
          <w:rFonts w:ascii="Times New Roman" w:hAnsi="Times New Roman"/>
          <w:i/>
          <w:caps w:val="false"/>
          <w:smallCaps w:val="false"/>
          <w:sz w:val="20"/>
        </w:rPr>
        <w:t>Report</w:t>
      </w:r>
      <w:r>
        <w:rPr>
          <w:rFonts w:ascii="Times New Roman" w:hAnsi="Times New Roman"/>
          <w:caps w:val="false"/>
          <w:smallCaps w:val="false"/>
          <w:sz w:val="20"/>
        </w:rPr>
        <w:t>”), Shawn K. Singh, JD, the Company’s Principal Executive Officer, and Cynthia L. Anderson, the Company’s Principal Financial Officer, certify, pursuant to 18 U.S.C. §1350, as adopted pursuant to §906 of the Sarbanes-Oxley Act of 2002, that to the best of their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 of Section 13(a) or Section 15 (d)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/s/ </w:t>
      </w:r>
      <w:r>
        <w:rPr>
          <w:rFonts w:ascii="Times New Roman" w:hAnsi="Times New Roman"/>
          <w:i/>
          <w:caps w:val="false"/>
          <w:smallCaps w:val="false"/>
          <w:sz w:val="20"/>
          <w:u w:val="single"/>
        </w:rPr>
        <w:t>Shawn K. Singh</w:t>
      </w:r>
      <w:r>
        <w:rPr>
          <w:rFonts w:ascii="Times New Roman" w:hAnsi="Times New Roman"/>
          <w:caps w:val="false"/>
          <w:smallCaps w:val="false"/>
          <w:sz w:val="20"/>
          <w:u w:val="single"/>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/s/ </w:t>
      </w:r>
      <w:r>
        <w:rPr>
          <w:rFonts w:ascii="Times New Roman" w:hAnsi="Times New Roman"/>
          <w:i/>
          <w:caps w:val="false"/>
          <w:smallCaps w:val="false"/>
          <w:sz w:val="20"/>
          <w:u w:val="single"/>
        </w:rPr>
        <w:t>Cynthia L. Anderson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Cynthia L. Anderson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11685/000143774923027662/ex_576126.htm" TargetMode="External"/><Relationship Id="rId3" Type="http://schemas.openxmlformats.org/officeDocument/2006/relationships/hyperlink" Target="http://www.sec.gov/Archives/edgar/data/1411685/000143774923027662/ex_576134.htm" TargetMode="External"/><Relationship Id="rId4" Type="http://schemas.openxmlformats.org/officeDocument/2006/relationships/hyperlink" Target="http://www.sec.gov/Archives/edgar/data/1411685/000143774923027662/ex_576135.htm" TargetMode="External"/><Relationship Id="rId5" Type="http://schemas.openxmlformats.org/officeDocument/2006/relationships/hyperlink" Target="http://www.sec.gov/Archives/edgar/data/1411685/000143774923027662/ex_576136.htm" TargetMode="External"/><Relationship Id="rId6" Type="http://schemas.openxmlformats.org/officeDocument/2006/relationships/hyperlink" Target="http://www.sec.gov/Archives/edgar/data/1411685/000143774923029096/ex_5864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42526</Words>
  <Characters>238769</Characters>
  <CharactersWithSpaces>282679</CharactersWithSpaces>
  <Paragraphs>4582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