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1420"/>
        <w:spacing w:after="0"/>
        <w:tabs>
          <w:tab w:leader="none" w:pos="4700" w:val="left"/>
          <w:tab w:leader="none" w:pos="5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2401570</wp:posOffset>
            </wp:positionH>
            <wp:positionV relativeFrom="paragraph">
              <wp:posOffset>-5080</wp:posOffset>
            </wp:positionV>
            <wp:extent cx="1236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001-37761</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VISTAGEN THERAPEUTICS,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20-5093315</w:t>
            </w:r>
          </w:p>
        </w:tc>
      </w:tr>
      <w:tr>
        <w:trPr>
          <w:trHeight w:val="216"/>
        </w:trPr>
        <w:tc>
          <w:tcPr>
            <w:tcW w:w="4140" w:type="dxa"/>
            <w:vAlign w:val="bottom"/>
          </w:tcPr>
          <w:p>
            <w:pPr>
              <w:jc w:val="center"/>
              <w:ind w:right="18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91"/>
        </w:trPr>
        <w:tc>
          <w:tcPr>
            <w:tcW w:w="1600" w:type="dxa"/>
            <w:vAlign w:val="bottom"/>
          </w:tcPr>
          <w:p>
            <w:pPr>
              <w:spacing w:after="0"/>
              <w:rPr>
                <w:sz w:val="24"/>
                <w:szCs w:val="24"/>
                <w:color w:val="auto"/>
              </w:rPr>
            </w:pPr>
          </w:p>
        </w:tc>
        <w:tc>
          <w:tcPr>
            <w:tcW w:w="336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4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9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4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VTGN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12, 2024, 27,025,209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3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r>
      <w:tr>
        <w:trPr>
          <w:trHeight w:val="432"/>
        </w:trPr>
        <w:tc>
          <w:tcPr>
            <w:tcW w:w="103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60" w:type="dxa"/>
            <w:vAlign w:val="bottom"/>
            <w:shd w:val="clear" w:color="auto" w:fill="CCEEFF"/>
          </w:tcPr>
          <w:p>
            <w:pPr>
              <w:spacing w:after="0"/>
              <w:rPr>
                <w:sz w:val="18"/>
                <w:szCs w:val="18"/>
                <w:color w:val="auto"/>
              </w:rPr>
            </w:pPr>
          </w:p>
        </w:tc>
      </w:tr>
      <w:tr>
        <w:trPr>
          <w:trHeight w:val="216"/>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8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Balance Sheets as of December 31, 2023 and March 31, 2023</w:t>
            </w: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1</w:t>
            </w:r>
          </w:p>
        </w:tc>
      </w:tr>
      <w:tr>
        <w:trPr>
          <w:trHeight w:val="198"/>
        </w:trPr>
        <w:tc>
          <w:tcPr>
            <w:tcW w:w="10380" w:type="dxa"/>
            <w:vAlign w:val="bottom"/>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and nine months ended December 31, 2023</w:t>
            </w:r>
          </w:p>
        </w:tc>
        <w:tc>
          <w:tcPr>
            <w:tcW w:w="860" w:type="dxa"/>
            <w:vAlign w:val="bottom"/>
            <w:shd w:val="clear" w:color="auto" w:fill="CCEEFF"/>
          </w:tcPr>
          <w:p>
            <w:pPr>
              <w:spacing w:after="0"/>
              <w:rPr>
                <w:sz w:val="17"/>
                <w:szCs w:val="17"/>
                <w:color w:val="auto"/>
              </w:rPr>
            </w:pPr>
          </w:p>
        </w:tc>
      </w:tr>
      <w:tr>
        <w:trPr>
          <w:trHeight w:val="234"/>
        </w:trPr>
        <w:tc>
          <w:tcPr>
            <w:tcW w:w="10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and 2022</w:t>
            </w:r>
          </w:p>
        </w:tc>
        <w:tc>
          <w:tcPr>
            <w:tcW w:w="8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2</w:t>
            </w:r>
          </w:p>
        </w:tc>
      </w:tr>
      <w:tr>
        <w:trPr>
          <w:trHeight w:val="198"/>
        </w:trPr>
        <w:tc>
          <w:tcPr>
            <w:tcW w:w="1038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Condensed Consolidated Statement of Changes in Stockholders’ Equity for the three and nine months ended December 31, 2023 and</w:t>
            </w:r>
          </w:p>
        </w:tc>
        <w:tc>
          <w:tcPr>
            <w:tcW w:w="860" w:type="dxa"/>
            <w:vAlign w:val="bottom"/>
          </w:tcPr>
          <w:p>
            <w:pPr>
              <w:spacing w:after="0"/>
              <w:rPr>
                <w:sz w:val="17"/>
                <w:szCs w:val="17"/>
                <w:color w:val="auto"/>
              </w:rPr>
            </w:pPr>
          </w:p>
        </w:tc>
      </w:tr>
      <w:tr>
        <w:trPr>
          <w:trHeight w:val="234"/>
        </w:trPr>
        <w:tc>
          <w:tcPr>
            <w:tcW w:w="10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December 31, 2023 and 2022</w:t>
            </w:r>
          </w:p>
        </w:tc>
        <w:tc>
          <w:tcPr>
            <w:tcW w:w="8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8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60" w:type="dxa"/>
            <w:vAlign w:val="bottom"/>
            <w:shd w:val="clear" w:color="auto" w:fill="CCEEFF"/>
          </w:tcPr>
          <w:p>
            <w:pPr>
              <w:spacing w:after="0"/>
              <w:rPr>
                <w:sz w:val="18"/>
                <w:szCs w:val="18"/>
                <w:color w:val="auto"/>
              </w:rPr>
            </w:pPr>
          </w:p>
        </w:tc>
      </w:tr>
      <w:tr>
        <w:trPr>
          <w:trHeight w:val="216"/>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 Legal Proceedings</w:t>
            </w:r>
          </w:p>
        </w:tc>
        <w:tc>
          <w:tcPr>
            <w:tcW w:w="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Item 1A. Risk Factors</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Item 5. Other Information</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52</w:t>
            </w:r>
          </w:p>
        </w:tc>
      </w:tr>
      <w:tr>
        <w:trPr>
          <w:trHeight w:val="574"/>
        </w:trPr>
        <w:tc>
          <w:tcPr>
            <w:tcW w:w="10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126,559,200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16,637,600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1,480,300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802,700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128,114,000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17,507,400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507,300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1,933,600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2,260,300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495,700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131,068,000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21,089,200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1,737,000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787,400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1,762,800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714,300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obligation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4,164,500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4,567,400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2,314,600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2,119,800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obligation - non-current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7,783,200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9,009,200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2023 and March 31, 2023;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 shares outstanding at December 31, 2023 and March 31, 2023</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325,000,000 shares authorized at December 31, 2023 and March 31, 2023;</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27,029,731 and 7,315,583 shares issued at December 31, 2023 and March 31, 2023,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473,918,200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342,892,500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December 31, 2023 and March 31, 2023</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(346,692,300)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(326,851,700)</w:t>
            </w: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123,284,800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12,080,000</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131,068,000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411,400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866,700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(402,900)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411,400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(402,900)</w:t>
            </w:r>
          </w:p>
        </w:tc>
      </w:tr>
      <w:tr>
        <w:trPr>
          <w:trHeight w:val="209"/>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4,537,600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6,854,000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12,585,400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35,039,800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3,757,800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3,092,100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9,943,300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11,586,200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8,295,400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9,946,100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22,528,700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46,626,000</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(7,884,000)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(9,766,500)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(21,662,000)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(47,028,900)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1,534,200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(6,349,800)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(9,761,200)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(19,838,100)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(47,015,200)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(6,349,800)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(9,761,200)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(19,840,600)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(47,020,700)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(6.82)</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29,388,085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6,894,603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15,632,451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6,891,641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212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6,889,400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$ 336,280,500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(267,604,000)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64,715,300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956,900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956,900</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56,100</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 for</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(19,776,300)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(19,776,300)</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337,393,500</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(287,380,300)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46,052,000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1,031,800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1,031,800</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 for</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(17,483,200)</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(17,483,200)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6,899,246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338,429,700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(304,863,500)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29,605,000</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746,300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746,300</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fair value attributed to warrant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modifications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77,400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(9,761,200)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(9,761,200)</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6,901,913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339,260,400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 (314,624,700)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20,674,500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21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410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7,315,583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7,300</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$ 342,892,500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(326,851,700)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569,100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569,100</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198"/>
        </w:trPr>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Open Market Sale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Agreement, net of issuance costs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561,418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1,098,200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1,098,800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(6,903,100)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(6,903,100)</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344,564,000</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(333,754,800)</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6,849,000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583,700</w:t>
            </w:r>
          </w:p>
        </w:tc>
        <w:tc>
          <w:tcPr>
            <w:tcW w:w="0" w:type="dxa"/>
            <w:vAlign w:val="bottom"/>
          </w:tcPr>
          <w:p>
            <w:pPr>
              <w:spacing w:after="0"/>
              <w:rPr>
                <w:sz w:val="1"/>
                <w:szCs w:val="1"/>
                <w:color w:val="auto"/>
              </w:rPr>
            </w:pPr>
          </w:p>
        </w:tc>
      </w:tr>
      <w:tr>
        <w:trPr>
          <w:trHeight w:val="198"/>
        </w:trPr>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Open Market Sale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Agreement, net of issuance costs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4,137,077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34,796,100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34,800,200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(6,587,700)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(6,587,700)</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379,943,800</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(340,342,500)</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35,645,200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506,700</w:t>
            </w:r>
          </w:p>
        </w:tc>
        <w:tc>
          <w:tcPr>
            <w:tcW w:w="0" w:type="dxa"/>
            <w:vAlign w:val="bottom"/>
          </w:tcPr>
          <w:p>
            <w:pPr>
              <w:spacing w:after="0"/>
              <w:rPr>
                <w:sz w:val="1"/>
                <w:szCs w:val="1"/>
                <w:color w:val="auto"/>
              </w:rPr>
            </w:pPr>
          </w:p>
        </w:tc>
      </w:tr>
      <w:tr>
        <w:trPr>
          <w:trHeight w:val="198"/>
        </w:trPr>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pre-funded warrants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through public offering, net of issuance costs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15,010,810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93,464,000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93,479,000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(6,349,800)</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(6,349,800)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27,029,731</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27,000</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473,918,200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(346,692,300)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123,284,800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(19,840,600)</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(47,020,700)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1,659,500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2,734,900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297,900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201,900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3,037,900</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(321,500)</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Deferred sublicense and other revenue, net of deferred contract acquisition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365,000</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(1,394,200)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(1,509,500)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(18,615,900)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(42,242,400)</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laboratory and other equipment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(212,000)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(212,000)</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 including option exercises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93,517,200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proceeds (expenses) from sale of common stock under Open Market Sale Agreement, net of deferred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offering costs</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36,030,700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sale of common stock under Employee Stock Purchase Plan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financing lease obligations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(984,800)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(720,500)</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128,569,800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(643,600)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109,921,600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(43,098,000)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68,135,300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126,559,200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25,037,300</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879,500</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1,139,700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Purchases of equipment included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17,900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office lease subject to financing lease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is a clinical-stage biopharmaceutical company pioneering neuroscience to deliver first-in-class therapies for psychiatric and neurological disorders. Five of our six clinical-stage product candidates – fasedienol (PH94B), itruvone (PH10), PH15, PH80 and PH284 –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Our sixth clinical-stage product candidate, AV-101, is an investigational oral drug candidate with the potential to inhibit, but not block, NMDA receptor activity. Vistagen is passionate about transforming what is possible in the treatment of anxiety, depression, and other neuroscience disorders.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Principles of Consolidation and Summary of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applicable to interim financial information and pursuant to the instructions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2023, has been derived from our audited consolidated financial statements but does not include all disclosures required by U.S. GAAP. The report of our independent auditors included an explanatory paragraph in their opinion on our consolidated financial statements as of and for the fiscal year ended March 31, 2023, that states that our ongoing losses raised substantial doubt about our ability to continue as a going concern.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2023 (our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Vistagen and its subsidiaries. All intercompany accounts and transactions have been eliminated.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June 6, 2023, we implemented a stockholder-approved one-for-thirty (1-for-30) reverse split of our common stock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xml:space="preserve">). All share and per share data for all periods presented in the accompanying condensed consolidated financial statements and related disclosures in this Report have been adjusted retrospectively to reflect the Reverse Stock Split. Refer to Note 5,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 during the reporting period. Significant estimates include those relating to revenue recognition, share-based compensation, right-of-use assets and lease liabilities and assumptions that have been used historically to value warrants and warrant modifications. Actual results could differ from those estimates. Changes in estimates are reflected in the reported results in the period in which they become known.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inception. As of December 31, 2023, we had an accumulated deficit of $346.7 million. We expect that operating losses and negative cash flows will continue for the foreseeable future as we continue to develop our product candidates. We currently expect that our cash and cash equivalents of $126.6 million as of December 31, 2023 will be sufficient to fund operating expenses and capital requirements for more than 12 months from the date the unaudited condensed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updates not already disclosed in the Company’s audited consolidated financial statements for the years ended March 31, 2023, and 2022, to the recently issued accounting standards for the nine months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certain financial assets that are measured at fair value on a recurring basis, which consist of cash held in money market funds. These assets, which are classified within Level 1 of the fair value hierarchy and are reflected as a component of cash and cash equivalents on the condensed consolidated balance sheets, totaled $120.8 million and $5.0 million at December 31, 2023 and March 31, 2023, respectively. We had no financial liabilities measured at fair value on a recurring basis at December 31, 2023 or March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executed a 7.43% promissory note in the principal amount of $0.9 million in connection with certain insurance policy renewal premiums. The note was payable in monthly installments of $0.1 million, including principal and interest, through February 2024. We paid this note in full in August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2022, we executed a 3.88% promissory note in the principal amount of $1.1 million in connection with certain insurance policy premiums. The note was payable in monthly installments of $0.1 million, including principal and interest, and we paid this note in full in April 2023.</w:t>
      </w:r>
    </w:p>
    <w:p>
      <w:pPr>
        <w:spacing w:after="0" w:line="200" w:lineRule="exact"/>
        <w:rPr>
          <w:sz w:val="20"/>
          <w:szCs w:val="20"/>
          <w:color w:val="auto"/>
        </w:rPr>
      </w:pPr>
    </w:p>
    <w:p>
      <w:pPr>
        <w:spacing w:after="0" w:line="201" w:lineRule="exact"/>
        <w:rPr>
          <w:sz w:val="20"/>
          <w:szCs w:val="20"/>
          <w:color w:val="auto"/>
        </w:rPr>
      </w:pPr>
    </w:p>
    <w:p>
      <w:pPr>
        <w:ind w:right="9960" w:firstLine="8"/>
        <w:spacing w:after="0" w:line="500" w:lineRule="auto"/>
        <w:tabs>
          <w:tab w:leader="none" w:pos="2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Split of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6, 2023, we implemented the stockholder-approved one-for-thirty (1-for-30) Reverse Stock Split. The number of shares and exercise prices of outstanding options to purchase common stock granted under our stockholder-approved equity compensation plans and common stock purchase warrants issued prior to June 6, 2023, have been adjusted proportionately to reflect the Reverse Stock Split. Following the Reverse Stock Split, authorized shares of our common stock remain unchanged at 325,000,000 and authorized shares of our preferred stock remain unchanged at 10,000,000. The par value of our common stock and preferred stock remains at $0.001 per share. All issued and outstanding shares of common stock, options exercisable for common stock and common stock purchase warrants issued prior to June 6, 2023, and per share amounts for all periods presented in the accompanying condensed consolidated financial statements have been adjusted retrospectively to reflect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2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pursuant to which we may, in our sole discretion, offer and sell, from time to time, shares of our common stock having an aggregate offering price of up to $75.0 million. During the nine months ended December 31, 2023, we sold an aggregate of 4,698,495 shares of our common stock under the Sales Agreement and received net cash proceeds of $36.2 million. We did not sell any shares under the Sales Agreement during the three months ended December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October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b w:val="1"/>
          <w:bCs w:val="1"/>
          <w:i w:val="1"/>
          <w:iCs w:val="1"/>
          <w:color w:val="auto"/>
        </w:rPr>
        <w:t xml:space="preserve"> Public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an underwritten public offering (the </w:t>
      </w:r>
      <w:r>
        <w:rPr>
          <w:rFonts w:ascii="Times New Roman" w:cs="Times New Roman" w:eastAsia="Times New Roman" w:hAnsi="Times New Roman"/>
          <w:sz w:val="18"/>
          <w:szCs w:val="18"/>
          <w:i w:val="1"/>
          <w:iCs w:val="1"/>
          <w:color w:val="auto"/>
        </w:rPr>
        <w:t>October 2023 Public Offering</w:t>
      </w:r>
      <w:r>
        <w:rPr>
          <w:rFonts w:ascii="Times New Roman" w:cs="Times New Roman" w:eastAsia="Times New Roman" w:hAnsi="Times New Roman"/>
          <w:sz w:val="18"/>
          <w:szCs w:val="18"/>
          <w:color w:val="auto"/>
        </w:rPr>
        <w:t xml:space="preserve">), whereby we offered and sold, for gross proceeds of approximately $100,000,000, a total of 15,010,810 shares of our common stock and, to certain investors, 3,577,240 pre-funded warrants to purchase up to 3,577,240 shares of common stock in lieu of shares of common stock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xml:space="preserve">). Each share of common stock and/or Pre-Funded Warrant was issued together with a ratably allocated portion of both warrants to purchase up to 9,294,022 shares of common stock (or pre-funded warrants to purchase up to 9,294,022 shares of common stock in lieu thereof) with an exercise price of $5.38 per share (the </w:t>
      </w:r>
      <w:r>
        <w:rPr>
          <w:rFonts w:ascii="Times New Roman" w:cs="Times New Roman" w:eastAsia="Times New Roman" w:hAnsi="Times New Roman"/>
          <w:sz w:val="18"/>
          <w:szCs w:val="18"/>
          <w:i w:val="1"/>
          <w:iCs w:val="1"/>
          <w:color w:val="auto"/>
        </w:rPr>
        <w:t>T1 Warrants</w:t>
      </w:r>
      <w:r>
        <w:rPr>
          <w:rFonts w:ascii="Times New Roman" w:cs="Times New Roman" w:eastAsia="Times New Roman" w:hAnsi="Times New Roman"/>
          <w:sz w:val="18"/>
          <w:szCs w:val="18"/>
          <w:color w:val="auto"/>
        </w:rPr>
        <w:t xml:space="preserve">) and warrants to purchase 11,265,086 shares of common stock (or pre-funded warrants to purchase up to 11,265,086 shares of common stock in lieu thereof) with an exercise price of $8.877 per share (the </w:t>
      </w:r>
      <w:r>
        <w:rPr>
          <w:rFonts w:ascii="Times New Roman" w:cs="Times New Roman" w:eastAsia="Times New Roman" w:hAnsi="Times New Roman"/>
          <w:sz w:val="18"/>
          <w:szCs w:val="18"/>
          <w:i w:val="1"/>
          <w:iCs w:val="1"/>
          <w:color w:val="auto"/>
        </w:rPr>
        <w:t>T2 Warrants</w:t>
      </w:r>
      <w:r>
        <w:rPr>
          <w:rFonts w:ascii="Times New Roman" w:cs="Times New Roman" w:eastAsia="Times New Roman" w:hAnsi="Times New Roman"/>
          <w:sz w:val="18"/>
          <w:szCs w:val="18"/>
          <w:color w:val="auto"/>
        </w:rPr>
        <w:t>). The combined offering price for each share of common stock, accompanying T1 Warrant and accompanying T2 Warrant was $5.38. The combined offering price per Pre-Funded Warrant, accompanying T1 Warrant and accompanying T2 Warrant was $5.379. The securities were issued pursuant to our effective shelf registration statement on Form S-</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(File </w:t>
      </w:r>
      <w:r>
        <w:rPr>
          <w:rFonts w:ascii="Times New Roman" w:cs="Times New Roman" w:eastAsia="Times New Roman" w:hAnsi="Times New Roman"/>
          <w:sz w:val="18"/>
          <w:szCs w:val="18"/>
          <w:i w:val="1"/>
          <w:iCs w:val="1"/>
          <w:color w:val="auto"/>
        </w:rPr>
        <w:t>No. 333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254299</w:t>
      </w:r>
      <w:r>
        <w:rPr>
          <w:rFonts w:ascii="Times New Roman" w:cs="Times New Roman" w:eastAsia="Times New Roman" w:hAnsi="Times New Roman"/>
          <w:sz w:val="18"/>
          <w:szCs w:val="18"/>
          <w:color w:val="auto"/>
        </w:rPr>
        <w:t>) and a related prospectus supplement filed with the Securities and Exchange Commission on October 3, 2023. The October 2023 Public Offering closed on October 4,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net proceeds to us from the October 2023 Public Offering were approximately $93.5 million, after deducting expenses related to the offering, including commissions, legal expenses and other offering costs.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Pre-Funded Warrants, T1 Warrants and T2 Warrants are exercisable, only at the option of the holder, at any time after October 4, 2023. Holders of Pre-Funded Warrants, T1 Warrants, and T2 Warrants are entitled to receive dividends, if declared, on an as-if-converted-to-common-stock basis, and in the same form as dividends actually paid on shares of the common stock. We may not effect the exercise of any Pre-Funded, T1 Warrant, or T2 Warrant, and a holder will not be entitled to exercise any portion of any Pre-Funded, T1 or T2 Warrant,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We evaluated the terms of the warrants issued and determined that they should be classified as equity instruments within additional paid-in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following common stock warrants were outstanding: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160" w:type="dxa"/>
            <w:vAlign w:val="bottom"/>
          </w:tcPr>
          <w:p>
            <w:pPr>
              <w:spacing w:after="0"/>
              <w:rPr>
                <w:sz w:val="18"/>
                <w:szCs w:val="18"/>
                <w:color w:val="auto"/>
              </w:rPr>
            </w:pPr>
          </w:p>
        </w:tc>
        <w:tc>
          <w:tcPr>
            <w:tcW w:w="2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2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Underlying Warrants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r>
      <w:tr>
        <w:trPr>
          <w:trHeight w:val="209"/>
        </w:trPr>
        <w:tc>
          <w:tcPr>
            <w:tcW w:w="2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33,334</w:t>
            </w:r>
          </w:p>
        </w:tc>
        <w:tc>
          <w:tcPr>
            <w:tcW w:w="2320" w:type="dxa"/>
            <w:vAlign w:val="bottom"/>
            <w:gridSpan w:val="2"/>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12/9/2024</w:t>
            </w:r>
          </w:p>
        </w:tc>
        <w:tc>
          <w:tcPr>
            <w:tcW w:w="16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12,352</w:t>
            </w:r>
          </w:p>
        </w:tc>
        <w:tc>
          <w:tcPr>
            <w:tcW w:w="232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21.900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7/25/2025</w:t>
            </w:r>
          </w:p>
        </w:tc>
        <w:tc>
          <w:tcPr>
            <w:tcW w:w="16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3,577,240</w:t>
            </w:r>
          </w:p>
        </w:tc>
        <w:tc>
          <w:tcPr>
            <w:tcW w:w="2320" w:type="dxa"/>
            <w:vAlign w:val="bottom"/>
            <w:gridSpan w:val="2"/>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0.001</w:t>
            </w:r>
          </w:p>
        </w:tc>
        <w:tc>
          <w:tcPr>
            <w:tcW w:w="2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2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9,294,022</w:t>
            </w:r>
          </w:p>
        </w:tc>
        <w:tc>
          <w:tcPr>
            <w:tcW w:w="232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5.380</w:t>
            </w: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w:t>
            </w:r>
          </w:p>
        </w:tc>
      </w:tr>
      <w:tr>
        <w:trPr>
          <w:trHeight w:val="216"/>
        </w:trPr>
        <w:tc>
          <w:tcPr>
            <w:tcW w:w="2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11,265,086</w:t>
            </w:r>
          </w:p>
        </w:tc>
        <w:tc>
          <w:tcPr>
            <w:tcW w:w="2320" w:type="dxa"/>
            <w:vAlign w:val="bottom"/>
            <w:gridSpan w:val="2"/>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8.877</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10/4/2028</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980" w:hanging="324"/>
        <w:spacing w:after="0" w:line="275" w:lineRule="auto"/>
        <w:tabs>
          <w:tab w:leader="none" w:pos="9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will expire 60 days after the later of (i) the date on which the Company first publicly discloses, whether by press release or Form 8-K filing, the top-line data for its PALISADE-3 Phase 3 clinical trial of fasedienol for the acute treatment of anxiety in adults with SAD and (ii) the date on which the Company first publicly discloses, whether by press release or Form 8-K filing, the top-line data for its PALISADE-4 Phase 3 clinical trial of fasedienol for the acute treatment of anxiety in adults with SAD.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exercise price of all outstanding warrants at December 31, 2023 is $6.24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May 1, 2020, we filed a Registration Statement on Form S-3 covering the resale of the shares underlying all of the currently outstanding warrants at that time (the </w:t>
      </w:r>
      <w:r>
        <w:rPr>
          <w:rFonts w:ascii="Times New Roman" w:cs="Times New Roman" w:eastAsia="Times New Roman" w:hAnsi="Times New Roman"/>
          <w:sz w:val="18"/>
          <w:szCs w:val="18"/>
          <w:i w:val="1"/>
          <w:iCs w:val="1"/>
          <w:color w:val="auto"/>
        </w:rPr>
        <w:t>Warrant Registration Statement</w:t>
      </w:r>
      <w:r>
        <w:rPr>
          <w:rFonts w:ascii="Times New Roman" w:cs="Times New Roman" w:eastAsia="Times New Roman" w:hAnsi="Times New Roman"/>
          <w:sz w:val="18"/>
          <w:szCs w:val="18"/>
          <w:color w:val="auto"/>
        </w:rPr>
        <w:t>). The SEC declared the Warrant Registration Statement effective on May 13, 2020. No outstanding warrant, including the warrants issued in connection with the October 2023 Public Offering, is subject to any down-round anti-dilution protection feature.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operating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296,200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896,600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1,091,900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450,100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762,900</w:t>
            </w: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1,643,000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746,300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2,734,900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Common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from the calculation of diluted net loss per share because their inclusion would be anti-dilutive:</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right="300"/>
        <w:spacing w:after="0" w:line="261" w:lineRule="auto"/>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Sublicensing and Collaborative Agreements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19685</wp:posOffset>
            </wp:positionV>
            <wp:extent cx="2048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048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14" w:lineRule="exact"/>
        <w:rPr>
          <w:sz w:val="20"/>
          <w:szCs w:val="20"/>
          <w:color w:val="auto"/>
        </w:rPr>
      </w:pPr>
    </w:p>
    <w:p>
      <w:pPr>
        <w:ind w:left="360"/>
        <w:spacing w:after="0"/>
        <w:tabs>
          <w:tab w:leader="none" w:pos="2040" w:val="left"/>
        </w:tabs>
        <w:rPr>
          <w:sz w:val="20"/>
          <w:szCs w:val="20"/>
          <w:color w:val="auto"/>
        </w:rPr>
      </w:pPr>
      <w:r>
        <w:rPr>
          <w:rFonts w:ascii="Times New Roman" w:cs="Times New Roman" w:eastAsia="Times New Roman" w:hAnsi="Times New Roman"/>
          <w:sz w:val="18"/>
          <w:szCs w:val="18"/>
          <w:color w:val="auto"/>
        </w:rPr>
        <w:t>729,500</w:t>
      </w:r>
      <w:r>
        <w:rPr>
          <w:sz w:val="20"/>
          <w:szCs w:val="20"/>
          <w:color w:val="auto"/>
        </w:rPr>
        <w:tab/>
      </w:r>
      <w:r>
        <w:rPr>
          <w:rFonts w:ascii="Times New Roman" w:cs="Times New Roman" w:eastAsia="Times New Roman" w:hAnsi="Times New Roman"/>
          <w:sz w:val="18"/>
          <w:szCs w:val="18"/>
          <w:color w:val="auto"/>
        </w:rPr>
        <w:t>752,264</w:t>
      </w:r>
    </w:p>
    <w:p>
      <w:pPr>
        <w:spacing w:after="0" w:line="27" w:lineRule="exact"/>
        <w:rPr>
          <w:sz w:val="20"/>
          <w:szCs w:val="20"/>
          <w:color w:val="auto"/>
        </w:rPr>
      </w:pPr>
    </w:p>
    <w:p>
      <w:pPr>
        <w:ind w:left="140"/>
        <w:spacing w:after="0"/>
        <w:tabs>
          <w:tab w:leader="none" w:pos="2140" w:val="left"/>
        </w:tabs>
        <w:rPr>
          <w:sz w:val="20"/>
          <w:szCs w:val="20"/>
          <w:color w:val="auto"/>
        </w:rPr>
      </w:pPr>
      <w:r>
        <w:rPr>
          <w:rFonts w:ascii="Times New Roman" w:cs="Times New Roman" w:eastAsia="Times New Roman" w:hAnsi="Times New Roman"/>
          <w:sz w:val="18"/>
          <w:szCs w:val="18"/>
          <w:color w:val="auto"/>
        </w:rPr>
        <w:t>20,604,794</w:t>
      </w:r>
      <w:r>
        <w:rPr>
          <w:sz w:val="20"/>
          <w:szCs w:val="20"/>
          <w:color w:val="auto"/>
        </w:rPr>
        <w:tab/>
      </w:r>
      <w:r>
        <w:rPr>
          <w:rFonts w:ascii="Times New Roman" w:cs="Times New Roman" w:eastAsia="Times New Roman" w:hAnsi="Times New Roman"/>
          <w:sz w:val="18"/>
          <w:szCs w:val="18"/>
          <w:color w:val="auto"/>
        </w:rPr>
        <w:t>79,920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048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ind w:left="140"/>
        <w:spacing w:after="0"/>
        <w:tabs>
          <w:tab w:leader="none" w:pos="2040" w:val="left"/>
        </w:tabs>
        <w:rPr>
          <w:sz w:val="20"/>
          <w:szCs w:val="20"/>
          <w:color w:val="auto"/>
        </w:rPr>
      </w:pPr>
      <w:r>
        <w:rPr>
          <w:rFonts w:ascii="Times New Roman" w:cs="Times New Roman" w:eastAsia="Times New Roman" w:hAnsi="Times New Roman"/>
          <w:sz w:val="18"/>
          <w:szCs w:val="18"/>
          <w:color w:val="auto"/>
        </w:rPr>
        <w:t>21,334,294</w:t>
      </w:r>
      <w:r>
        <w:rPr>
          <w:sz w:val="20"/>
          <w:szCs w:val="20"/>
          <w:color w:val="auto"/>
        </w:rPr>
        <w:tab/>
      </w:r>
      <w:r>
        <w:rPr>
          <w:rFonts w:ascii="Times New Roman" w:cs="Times New Roman" w:eastAsia="Times New Roman" w:hAnsi="Times New Roman"/>
          <w:sz w:val="18"/>
          <w:szCs w:val="18"/>
          <w:color w:val="auto"/>
        </w:rPr>
        <w:t>832,184</w:t>
      </w:r>
    </w:p>
    <w:p>
      <w:pPr>
        <w:spacing w:after="0" w:line="906" w:lineRule="exact"/>
        <w:rPr>
          <w:sz w:val="20"/>
          <w:szCs w:val="20"/>
          <w:color w:val="auto"/>
        </w:rPr>
      </w:pPr>
    </w:p>
    <w:p>
      <w:pPr>
        <w:sectPr>
          <w:pgSz w:w="11900" w:h="16838" w:orient="portrait"/>
          <w:cols w:equalWidth="0" w:num="2">
            <w:col w:w="7200" w:space="720"/>
            <w:col w:w="3320"/>
          </w:cols>
          <w:pgMar w:left="320" w:top="580"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recognized sublicense and other revenue of $0.4 million and $0.9 million for the three and nine months ended December 31, 2023, respectively, and $0.2 million and $(0.4) million for the three and nine months ended December 31,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contract assets and liabilities during the nine months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284,700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3,028,900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(866,700)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3,662,200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terms of our collaboration arrangements: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AffaMed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2020, we entered into a license and collaboration agreement (the </w:t>
      </w:r>
      <w:r>
        <w:rPr>
          <w:rFonts w:ascii="Times New Roman" w:cs="Times New Roman" w:eastAsia="Times New Roman" w:hAnsi="Times New Roman"/>
          <w:sz w:val="18"/>
          <w:szCs w:val="18"/>
          <w:i w:val="1"/>
          <w:iCs w:val="1"/>
          <w:color w:val="auto"/>
        </w:rPr>
        <w:t>AffaMed Agreement</w:t>
      </w:r>
      <w:r>
        <w:rPr>
          <w:rFonts w:ascii="Times New Roman" w:cs="Times New Roman" w:eastAsia="Times New Roman" w:hAnsi="Times New Roman"/>
          <w:sz w:val="18"/>
          <w:szCs w:val="18"/>
          <w:color w:val="auto"/>
        </w:rPr>
        <w:t>) with EverInsight Therapeutics Inc., a company incorporated under the laws of the British Virgin Islands, now AffaMed Therapeutics, Inc. (</w:t>
      </w:r>
      <w:r>
        <w:rPr>
          <w:rFonts w:ascii="Times New Roman" w:cs="Times New Roman" w:eastAsia="Times New Roman" w:hAnsi="Times New Roman"/>
          <w:sz w:val="18"/>
          <w:szCs w:val="18"/>
          <w:i w:val="1"/>
          <w:iCs w:val="1"/>
          <w:color w:val="auto"/>
        </w:rPr>
        <w:t>AffaMed</w:t>
      </w:r>
      <w:r>
        <w:rPr>
          <w:rFonts w:ascii="Times New Roman" w:cs="Times New Roman" w:eastAsia="Times New Roman" w:hAnsi="Times New Roman"/>
          <w:sz w:val="18"/>
          <w:szCs w:val="18"/>
          <w:color w:val="auto"/>
        </w:rPr>
        <w:t>), pursuant to which we granted AffaMed an exclusive license to develop and commercialize fasedienol for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xml:space="preserve">) and potentially other anxiety-related disorders in Greater China, South Korea and Southeast Asia (which includes Indonesia, Malaysia, Philippines, Thailand and Vietnam)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We retain exclusive development and commercialization rights for fasedienol in the U.S. and throughout the rest of the world outside the Territory.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Territory in the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fasedienol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fasedienol.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level of effort attributable to the performance obligation included in the AffaMed Agreement and the period over which we expect to complete our performance obligation. The performance period or measure of progress is estimated at the inception of the arrangement and re-evaluated in subsequent reporting periods. This re-evaluation may shorten or lengthen the period over which we recognize revenue. At September 30, 2022, we extended the date in our estimate to complete the performance obligation. As a result of the change in our estimate of the time required to complete our performance obligation, we recorded a cumulative catch-up adjustment at September 30, 2022 resulting in derecognition of $892,500 of previously recognized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March 31, 2023, we had short-term deferred revenue of $0.8 million and $0.7 million, respectively, and long-term deferred revenue of $1.6 million and $2.3 million, respectively, related to the AffaMed Agreement. During the three and nine months ended December 31, 2023, we recognized revenue of $0.2 million and $0.7 million, respectively, under the AffaMed Agreement, which was included in the contract liability balance as of March 31, 2023. The remaining deferred revenue under the AffaMed Agreement will be recognized over the expected remaining contractual term.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AffaMed Agreement will expire on a jurisdiction-by-jurisdiction basis upon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Fuji Pharma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 2023, we entered into an Exclusive Negotiation Agreement (the </w:t>
      </w:r>
      <w:r>
        <w:rPr>
          <w:rFonts w:ascii="Times New Roman" w:cs="Times New Roman" w:eastAsia="Times New Roman" w:hAnsi="Times New Roman"/>
          <w:sz w:val="18"/>
          <w:szCs w:val="18"/>
          <w:i w:val="1"/>
          <w:iCs w:val="1"/>
          <w:color w:val="auto"/>
        </w:rPr>
        <w:t>Negotiation Agreement</w:t>
      </w:r>
      <w:r>
        <w:rPr>
          <w:rFonts w:ascii="Times New Roman" w:cs="Times New Roman" w:eastAsia="Times New Roman" w:hAnsi="Times New Roman"/>
          <w:sz w:val="18"/>
          <w:szCs w:val="18"/>
          <w:color w:val="auto"/>
        </w:rPr>
        <w:t>) with Fuji Pharma Co., Ltd. (</w:t>
      </w:r>
      <w:r>
        <w:rPr>
          <w:rFonts w:ascii="Times New Roman" w:cs="Times New Roman" w:eastAsia="Times New Roman" w:hAnsi="Times New Roman"/>
          <w:sz w:val="18"/>
          <w:szCs w:val="18"/>
          <w:i w:val="1"/>
          <w:iCs w:val="1"/>
          <w:color w:val="auto"/>
        </w:rPr>
        <w:t>Fuji Pharma</w:t>
      </w:r>
      <w:r>
        <w:rPr>
          <w:rFonts w:ascii="Times New Roman" w:cs="Times New Roman" w:eastAsia="Times New Roman" w:hAnsi="Times New Roman"/>
          <w:sz w:val="18"/>
          <w:szCs w:val="18"/>
          <w:color w:val="auto"/>
        </w:rPr>
        <w:t xml:space="preserve">), a Tokyo Stock Exchange-listed, Japan-based pharmaceutical company. Pursuant to the terms and conditions of the Negotiation Agreement, we agreed, for a limited period of time, to negotiate exclusively with Fuji Pharma for a potential exclusive license agreement to develop and commercialize our PH80 product candidate in Japan (the </w:t>
      </w:r>
      <w:r>
        <w:rPr>
          <w:rFonts w:ascii="Times New Roman" w:cs="Times New Roman" w:eastAsia="Times New Roman" w:hAnsi="Times New Roman"/>
          <w:sz w:val="18"/>
          <w:szCs w:val="18"/>
          <w:i w:val="1"/>
          <w:iCs w:val="1"/>
          <w:color w:val="auto"/>
        </w:rPr>
        <w:t>Potential Definitive Agreement</w:t>
      </w:r>
      <w:r>
        <w:rPr>
          <w:rFonts w:ascii="Times New Roman" w:cs="Times New Roman" w:eastAsia="Times New Roman" w:hAnsi="Times New Roman"/>
          <w:sz w:val="18"/>
          <w:szCs w:val="18"/>
          <w:color w:val="auto"/>
        </w:rPr>
        <w:t xml:space="preserve">). The Negotiation Agreement provides for an exclusive negotiation period beginning on the date of formal written notice being received by Fuji Pharma that we have selected a contract development and manufacturing organization to conduct preclinical toxicology studies for the product candidate (the </w:t>
      </w:r>
      <w:r>
        <w:rPr>
          <w:rFonts w:ascii="Times New Roman" w:cs="Times New Roman" w:eastAsia="Times New Roman" w:hAnsi="Times New Roman"/>
          <w:sz w:val="18"/>
          <w:szCs w:val="18"/>
          <w:i w:val="1"/>
          <w:iCs w:val="1"/>
          <w:color w:val="auto"/>
        </w:rPr>
        <w:t>Payment Event</w:t>
      </w:r>
      <w:r>
        <w:rPr>
          <w:rFonts w:ascii="Times New Roman" w:cs="Times New Roman" w:eastAsia="Times New Roman" w:hAnsi="Times New Roman"/>
          <w:sz w:val="18"/>
          <w:szCs w:val="18"/>
          <w:color w:val="auto"/>
        </w:rPr>
        <w:t>), and terminating on the later to occur of (i) fourteen (14) months from the date of the Payment Event or (ii) ninety (90) days from the date that the U.S. Food and Drug Administration accepts an Investigational New Drug application for PH80 for the treatment of vasomotor symptoms (hot flashes) due to menopause (</w:t>
      </w:r>
      <w:r>
        <w:rPr>
          <w:rFonts w:ascii="Times New Roman" w:cs="Times New Roman" w:eastAsia="Times New Roman" w:hAnsi="Times New Roman"/>
          <w:sz w:val="18"/>
          <w:szCs w:val="18"/>
          <w:i w:val="1"/>
          <w:iCs w:val="1"/>
          <w:color w:val="auto"/>
        </w:rPr>
        <w:t>Exclusive Negotiation Period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to us of $1.5 million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short-term deferred revenue of $1.0 million and long-term deferred revenue of $0.3 million related to the Negotiation Agreement. During the three and nine months ended December 31, 2023, we recognized $0.2 million of revenue under the Negotiation Agreement. The remaining deferred revenue under the Negotiation Agreement will be recognized over the expected remaining estimated contractual term.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During the three and nine months ended December 31, 2023, we recorded expense of $30,000 and $140,000,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consulting agreement with FitzPatrick Co. LLC, a consulting firm for which Margaret FitzPatrick, an independent member of our Board of Directors, is Managing Director, to provide corporate development and public relations advisory services. The consulting agreement, as amended, was set to expire on December 31, 2023. However, the Company and FitzPatrick Co. LLC mutually agreed to conclude the term of the FitzPatrick Co. Consulting Agreement effective October 1, 2023, as all matters set forth in the statement of work were completed as of that date. We recorded expense of $0 and $70,000 for the three and nine months ended December 31, 2023, respectively, as compared to $45,000 and $135,000 for the three and nine months ended December 31, 2022,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Ann Cunningham resigned as our Chief Commercial Officer to serve full-time as Managing Partner of i3 Strategy Partners, a pharmaceutical consulting firm founded by Ms. Cunningham. i3 Strategy Partners began providing commercial planning advisory services to us pursuant to a consulting agreement, dated November 2022. The initial term of the consulting agreement will expire on March 31, 2024. During the three and nine months ended December 31, 2023, we recorded expense under the consulting agreement of $52,000 and $117,000, respectively, as compared to $120,000 for the three and nine months ended December 31, 2022. Ms. Cunningham remains a member of our Board of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party to litigation, arbitration or other legal proceedings in the course of our business.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our ability to obtain, maintain and enforce patents on our products once approved for marketing, the impact of competitive products, product development, commercialization potential and technological difficulties, the effect of our accounting policies, and other risks as detailed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and Board of Directors (Board) or disadvantageous to our stockholders.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this Report or otherwise.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Accordingly, you should not rely upon forward-looking statements in this Report as predictions of future events. The events and circumstances reflected in the forward-looking statements in this Report may not be achieved or occur. Although we believe that the expectations reflected in the forward-looking statements in this Report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neuroscience to deliver first-in-class therapies for psychiatric and neurological disorders. Five of our six clinical-stage product candidates – fasedienol (PH94B), itruvone (PH10), PH15, PH80 and PH284 –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Our sixth clinical-stage product candidate, AV-101, is an investigational oral drug candidate with the potential to inhibit, but not block, NMDA receptor activity.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passionate about transforming what is possible in the treatment of anxiety, depression, and other neuroscience disorders.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Neuroscience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Nasal Spray for Social Anxiety Disorder (SAD)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Fasedienol (PH94B) is an odorless, tasteless synthetic investigational pherine nasal spray from the androstane family in Phase 3 clinical development for the acute treatment of anxiety for adults with SAD. When administered intranasally in microgram-level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short-duration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FDA has granted Fast Track designation for the development of fasedienol as a potential treatment for SAD.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PALISADE Phase 3 Program in SAD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how fasedienol’s rapid-onset mechanism of action (MOA) is differentiated from all FDA-approved anxiety drugs, our primary target indication for fasedienol is the acute treatment of anxiety in adults with SAD. Currently, there is no FDA-approved drug therapy for the acute treatment of SAD. For that acute indication, we have aligned with the FDA that the Subjective Units of Distress Scale (</w:t>
      </w:r>
      <w:r>
        <w:rPr>
          <w:rFonts w:ascii="Times New Roman" w:cs="Times New Roman" w:eastAsia="Times New Roman" w:hAnsi="Times New Roman"/>
          <w:sz w:val="18"/>
          <w:szCs w:val="18"/>
          <w:i w:val="1"/>
          <w:iCs w:val="1"/>
          <w:color w:val="auto"/>
        </w:rPr>
        <w:t>SUDS</w:t>
      </w:r>
      <w:r>
        <w:rPr>
          <w:rFonts w:ascii="Times New Roman" w:cs="Times New Roman" w:eastAsia="Times New Roman" w:hAnsi="Times New Roman"/>
          <w:sz w:val="18"/>
          <w:szCs w:val="18"/>
          <w:color w:val="auto"/>
        </w:rPr>
        <w:t>) is an appropriate primary efficacy endpoint because it provides a measure of anxiety on a minute-by-minute basis immediately related to the specific stressor. We believe utilizing a simulated anxiety-provoking public speaking challenge study design provides the most appropriate and efficient path for the Phase 3 clinical development of fasedienol’s potential to become the first FDA-approved acute treatment of anxiety for adults with SAD. Our PALISADE Phase 3 Program currently includes four randomized, double-blind, placebo-controlled, Phase 3 clinical trials designed to evaluate the efficacy, safety, and tolerability of a single dose of fasedienol to relieve anxiety symptoms in adult patients with SAD during a simulated, anxiety-provoking public speaking challenge in a clinical setting, as measured using the patient-reported SUDS, two of which Phase 3 trials (</w:t>
      </w:r>
      <w:r>
        <w:rPr>
          <w:rFonts w:ascii="Times New Roman" w:cs="Times New Roman" w:eastAsia="Times New Roman" w:hAnsi="Times New Roman"/>
          <w:sz w:val="18"/>
          <w:szCs w:val="18"/>
          <w:i w:val="1"/>
          <w:iCs w:val="1"/>
          <w:color w:val="auto"/>
        </w:rPr>
        <w:t>PALISADE-1 and PALISADE-2</w:t>
      </w:r>
      <w:r>
        <w:rPr>
          <w:rFonts w:ascii="Times New Roman" w:cs="Times New Roman" w:eastAsia="Times New Roman" w:hAnsi="Times New Roman"/>
          <w:sz w:val="18"/>
          <w:szCs w:val="18"/>
          <w:color w:val="auto"/>
        </w:rPr>
        <w:t>) have been concluded and two of which Phase 3 trials (</w:t>
      </w:r>
      <w:r>
        <w:rPr>
          <w:rFonts w:ascii="Times New Roman" w:cs="Times New Roman" w:eastAsia="Times New Roman" w:hAnsi="Times New Roman"/>
          <w:sz w:val="18"/>
          <w:szCs w:val="18"/>
          <w:i w:val="1"/>
          <w:iCs w:val="1"/>
          <w:color w:val="auto"/>
        </w:rPr>
        <w:t>PALISADE-3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PALISADE-4</w:t>
      </w:r>
      <w:r>
        <w:rPr>
          <w:rFonts w:ascii="Times New Roman" w:cs="Times New Roman" w:eastAsia="Times New Roman" w:hAnsi="Times New Roman"/>
          <w:sz w:val="18"/>
          <w:szCs w:val="18"/>
          <w:color w:val="auto"/>
        </w:rPr>
        <w:t>) will be initiated in 2024, each with open-label extension. Our PALISADE Phase 3 Program also includes an open-label safety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in 2022 (</w:t>
      </w:r>
      <w:r>
        <w:rPr>
          <w:rFonts w:ascii="Times New Roman" w:cs="Times New Roman" w:eastAsia="Times New Roman" w:hAnsi="Times New Roman"/>
          <w:sz w:val="18"/>
          <w:szCs w:val="18"/>
          <w:i w:val="1"/>
          <w:iCs w:val="1"/>
          <w:color w:val="auto"/>
        </w:rPr>
        <w:t>PALISADE OLS)</w:t>
      </w:r>
      <w:r>
        <w:rPr>
          <w:rFonts w:ascii="Times New Roman" w:cs="Times New Roman" w:eastAsia="Times New Roman" w:hAnsi="Times New Roman"/>
          <w:sz w:val="18"/>
          <w:szCs w:val="18"/>
          <w:color w:val="auto"/>
        </w:rPr>
        <w:t>, a Phase 2 repeat dose study to be initiated in 2024 (</w:t>
      </w:r>
      <w:r>
        <w:rPr>
          <w:rFonts w:ascii="Times New Roman" w:cs="Times New Roman" w:eastAsia="Times New Roman" w:hAnsi="Times New Roman"/>
          <w:sz w:val="18"/>
          <w:szCs w:val="18"/>
          <w:i w:val="1"/>
          <w:iCs w:val="1"/>
          <w:color w:val="auto"/>
        </w:rPr>
        <w:t>Repeat Dose Study</w:t>
      </w:r>
      <w:r>
        <w:rPr>
          <w:rFonts w:ascii="Times New Roman" w:cs="Times New Roman" w:eastAsia="Times New Roman" w:hAnsi="Times New Roman"/>
          <w:sz w:val="18"/>
          <w:szCs w:val="18"/>
          <w:color w:val="auto"/>
        </w:rPr>
        <w:t>), two standard preclinical studies to be initiated in 2024, and a small human factor study planned to be initiated in 2025.</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early August 2023, we received and reported positive topline results from our PALISADE-2 Phase 3 trials of fasedienol in SAD based on the 141 subjects who completed the trial. Our PALISADE-2 Phase 3 trial met its primary efficacy endpoint, the difference in mean SUDS scores during the public speaking challenge at baseline (Visit 2) and treatment (Visit 3) for subjects treated with fasedienol versus placebo at Visit 3. Fasedienol-treated patients demonstrated a greater mean change from baseline (least-squares (</w:t>
      </w:r>
      <w:r>
        <w:rPr>
          <w:rFonts w:ascii="Times New Roman" w:cs="Times New Roman" w:eastAsia="Times New Roman" w:hAnsi="Times New Roman"/>
          <w:sz w:val="18"/>
          <w:szCs w:val="18"/>
          <w:i w:val="1"/>
          <w:iCs w:val="1"/>
          <w:color w:val="auto"/>
        </w:rPr>
        <w:t>LS</w:t>
      </w:r>
      <w:r>
        <w:rPr>
          <w:rFonts w:ascii="Times New Roman" w:cs="Times New Roman" w:eastAsia="Times New Roman" w:hAnsi="Times New Roman"/>
          <w:sz w:val="18"/>
          <w:szCs w:val="18"/>
          <w:color w:val="auto"/>
        </w:rPr>
        <w:t>)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w:t>
      </w:r>
      <w:r>
        <w:rPr>
          <w:rFonts w:ascii="Times New Roman" w:cs="Times New Roman" w:eastAsia="Times New Roman" w:hAnsi="Times New Roman"/>
          <w:sz w:val="18"/>
          <w:szCs w:val="18"/>
          <w:i w:val="1"/>
          <w:iCs w:val="1"/>
          <w:color w:val="auto"/>
        </w:rPr>
        <w:t>CGI-I</w:t>
      </w:r>
      <w:r>
        <w:rPr>
          <w:rFonts w:ascii="Times New Roman" w:cs="Times New Roman" w:eastAsia="Times New Roman" w:hAnsi="Times New Roman"/>
          <w:sz w:val="18"/>
          <w:szCs w:val="18"/>
          <w:color w:val="auto"/>
        </w:rPr>
        <w:t>) scale.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Patient’s Global Impression of Change (</w:t>
      </w:r>
      <w:r>
        <w:rPr>
          <w:rFonts w:ascii="Times New Roman" w:cs="Times New Roman" w:eastAsia="Times New Roman" w:hAnsi="Times New Roman"/>
          <w:sz w:val="18"/>
          <w:szCs w:val="18"/>
          <w:i w:val="1"/>
          <w:iCs w:val="1"/>
          <w:color w:val="auto"/>
        </w:rPr>
        <w:t>PGI-C</w:t>
      </w:r>
      <w:r>
        <w:rPr>
          <w:rFonts w:ascii="Times New Roman" w:cs="Times New Roman" w:eastAsia="Times New Roman" w:hAnsi="Times New Roman"/>
          <w:sz w:val="18"/>
          <w:szCs w:val="18"/>
          <w:color w:val="auto"/>
        </w:rPr>
        <w:t>). Responders were identified as those who self-rated ‘very much less anxious’ or ‘much less anxious’ and 40.6% of fasedienol-treated patients were rated as responders, as compared to 18.6% of those treated with placebo (p=0.003). In addition, our PALISADE-2 trial also met the exploratory endpoint of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and the treatment-emergent adverse event (</w:t>
      </w:r>
      <w:r>
        <w:rPr>
          <w:rFonts w:ascii="Times New Roman" w:cs="Times New Roman" w:eastAsia="Times New Roman" w:hAnsi="Times New Roman"/>
          <w:sz w:val="18"/>
          <w:szCs w:val="18"/>
          <w:i w:val="1"/>
          <w:iCs w:val="1"/>
          <w:color w:val="auto"/>
        </w:rPr>
        <w:t>TEAE</w:t>
      </w:r>
      <w:r>
        <w:rPr>
          <w:rFonts w:ascii="Times New Roman" w:cs="Times New Roman" w:eastAsia="Times New Roman" w:hAnsi="Times New Roman"/>
          <w:sz w:val="18"/>
          <w:szCs w:val="18"/>
          <w:color w:val="auto"/>
        </w:rPr>
        <w:t>) profiles were comparable between fasedienol and placebo. Overall, no TEAEs, except for pyrexia in the placebo group (2.49%), was more prevalent than 2.0%.</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complement the positive topline results from PALISADE-2, we are preparing to launch PALISADE-3 in the first half of 2024 and PALISADE-4 in the second half of 2024. Like PALISADE-2, both PALISADE-3 and PALISADE-4 will be multi-center, randomized, double-blind, placebo-controlled studies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In addition, both PALISADE-3 and PALISADE-4 will have an open-label extension for a period of up to 12 months. We believe either PALISADE-3 or PALISADE-4, if successful, together with PALISADE-2, may establish substantial evidence of effectiveness of fasedienol in support of a potential fasedienol NDA submission for the acute treatment of anxiety in adults with SAD with the FDA.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planning to initiate the Repeat Dose Study in the second half of 2024. The Repeat Dose Study will be a multi-center, randomized, double-blind, placebo-controlled, clinical trial designed to evaluate repeated dosing of fasedienol in adult patients with SAD during a single simulated, anxiety-provoking public speaking challenge in a clinical setting. The Repeat Dose Study trial will consist of three different dosing arms, with an open-label extension for a period of up to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fasedienol for the acute treatment of SAD.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Itruvone Nasal Spray for Major Depressive Disorder (MDD)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w:t>
      </w:r>
      <w:r>
        <w:rPr>
          <w:rFonts w:ascii="Times New Roman" w:cs="Times New Roman" w:eastAsia="Times New Roman" w:hAnsi="Times New Roman"/>
          <w:sz w:val="18"/>
          <w:szCs w:val="18"/>
          <w:i w:val="1"/>
          <w:iCs w:val="1"/>
          <w:color w:val="auto"/>
        </w:rPr>
        <w:t>ADs</w:t>
      </w:r>
      <w:r>
        <w:rPr>
          <w:rFonts w:ascii="Times New Roman" w:cs="Times New Roman" w:eastAsia="Times New Roman" w:hAnsi="Times New Roman"/>
          <w:sz w:val="18"/>
          <w:szCs w:val="18"/>
          <w:color w:val="auto"/>
        </w:rPr>
        <w:t>) and rapid-onset intravenous and intranasal ketamine-based therapy, we believe itruvone does not require systemic absorption or direct activity on neurons in the brain to produce antidepressant effects without the side effects and safety concerns that may be associated with current antidepressant therapies.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currently preparing and planning for potential U.S. Phase 2B clinical development of itruvone for treatment of MDD. In a randomized, double-blind, placebo-controlled parallel design Phase 2A clinical trial of itruvone in MDD and published in the peer-reviewed </w:t>
      </w:r>
      <w:r>
        <w:rPr>
          <w:rFonts w:ascii="Times New Roman" w:cs="Times New Roman" w:eastAsia="Times New Roman" w:hAnsi="Times New Roman"/>
          <w:sz w:val="18"/>
          <w:szCs w:val="18"/>
          <w:i w:val="1"/>
          <w:iCs w:val="1"/>
          <w:color w:val="auto"/>
        </w:rPr>
        <w:t>British Journal of Pharmaceutical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Medical Research</w:t>
      </w:r>
      <w:r>
        <w:rPr>
          <w:rFonts w:ascii="Times New Roman" w:cs="Times New Roman" w:eastAsia="Times New Roman" w:hAnsi="Times New Roman"/>
          <w:sz w:val="18"/>
          <w:szCs w:val="18"/>
          <w:color w:val="auto"/>
        </w:rPr>
        <w:t>, at a 6.4 μg dose administered intranasally twice daily for eight weeks, PH10 significantly reduced depressive symptoms as early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week based on the 17-item Hamilton Depression Scale (HAM-D-17) scores compared to placebo (p=0.022). Itruvone was well-tolerated and did not cause psychological side effects (such as dissociation or hallucinations) or other safety concerns that may be associated with other approved pharmacological therapies for MDD. The trial was sponsored by Pherin Pharmaceuticals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now a wholly-owned subsidiary of Vistagen, and was conducted in Mexico. Positive data from our recent U.S. IND-enabling Phase 1 trial demonstrated that there were no reported treatment-related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or discontinuations due to adverse events in the trial. Overall, itruvone was well-tolerated and continued to demonstrate a favorable safety profile consistent with all other itruvone trials completed to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98"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itruvone for the treatment of MDD.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Nasal Spray for Women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Health Disorders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PH80 is an odorless, tasteless synthetic investigational pherine nasal spray with a novel, rapid-onset potential MOA that is fundamentally differentiated from the MOA of all currently approved treatments for vasomotor symptoms (hot flashes) due to menopause, premenstrual dysphoric disorder (</w:t>
      </w:r>
      <w:r>
        <w:rPr>
          <w:rFonts w:ascii="Times New Roman" w:cs="Times New Roman" w:eastAsia="Times New Roman" w:hAnsi="Times New Roman"/>
          <w:sz w:val="18"/>
          <w:szCs w:val="18"/>
          <w:i w:val="1"/>
          <w:iCs w:val="1"/>
          <w:color w:val="auto"/>
        </w:rPr>
        <w:t>PMDD</w:t>
      </w:r>
      <w:r>
        <w:rPr>
          <w:rFonts w:ascii="Times New Roman" w:cs="Times New Roman" w:eastAsia="Times New Roman" w:hAnsi="Times New Roman"/>
          <w:sz w:val="18"/>
          <w:szCs w:val="18"/>
          <w:color w:val="auto"/>
        </w:rPr>
        <w:t>), and other women’s health disorders and migraine headaches. PH80 activates chemosensory neurons in the nasal cavity connected to neural circuits that modulate the basal forebrain associated with the control of body temperature.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PH80 for Moderate to Severe Vasomotor Symptoms (hot flashes) due to Menopause. </w:t>
      </w:r>
      <w:r>
        <w:rPr>
          <w:rFonts w:ascii="Times New Roman" w:cs="Times New Roman" w:eastAsia="Times New Roman" w:hAnsi="Times New Roman"/>
          <w:sz w:val="18"/>
          <w:szCs w:val="18"/>
          <w:color w:val="auto"/>
        </w:rPr>
        <w:t>We recently reported positive results from a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unpublished exploratory randomized, double-blind, placebo-controlled Phase 2A study of PH80 for the acute treatment of vasomotor symptoms (hot flashes) due to menopause sponsored by Pherin, now our wholly-owned subsidiary. This Phase 2A study conducted in a real-world setting demonstrated a statistically significant reduction in the daily number of menopausal hot flashes compared to placebo at the end of the first week of treatment (p=&lt;0.001), and the improvement was maintained through each treatment week until the end of the four-week treatment period (p=&lt;0.001). PH80 treatment also significantly reduced the severity, disruption in function, and sweating related to hot flashes during the treatment period as compared with placebo. PH80 was well-tolerated with no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and the adverse event profiles were comparable between PH80 and placebo. All 36 subjects completed four weeks of treatment and no subject discontinued participation in the study as a result of TEAEs.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PH80 for Premenstrual Dysphoric Disorder (</w:t>
      </w:r>
      <w:r>
        <w:rPr>
          <w:rFonts w:ascii="Times New Roman" w:cs="Times New Roman" w:eastAsia="Times New Roman" w:hAnsi="Times New Roman"/>
          <w:sz w:val="18"/>
          <w:szCs w:val="18"/>
          <w:b w:val="1"/>
          <w:bCs w:val="1"/>
          <w:i w:val="1"/>
          <w:iCs w:val="1"/>
          <w:color w:val="auto"/>
        </w:rPr>
        <w:t>PMDD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also recently reported positive results from a previously unpublished exploratory randomized,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double-blind, placebo-controlled Phase 2A clinical study of PH80 for acute management of the symptoms of PMDD, including negative mood and physical and behavioral symptoms, in subjects with a regular menstrual cycle and at least a one-year history of PMDD. This Phase 2A study was sponsored by Pherin, now our wholly-owned subsidiary, and demonstrated a statistically significant improvement versus placebo in acute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 w:cs="Times New Roman" w:eastAsia="Times New Roman" w:hAnsi="Times New Roman"/>
          <w:sz w:val="18"/>
          <w:szCs w:val="18"/>
          <w:i w:val="1"/>
          <w:iCs w:val="1"/>
          <w:color w:val="auto"/>
        </w:rPr>
        <w:t>DSR</w:t>
      </w:r>
      <w:r>
        <w:rPr>
          <w:rFonts w:ascii="Times New Roman" w:cs="Times New Roman" w:eastAsia="Times New Roman" w:hAnsi="Times New Roman"/>
          <w:sz w:val="18"/>
          <w:szCs w:val="18"/>
          <w:color w:val="auto"/>
        </w:rPr>
        <w:t>) as early as Day 4 and continuing to Day 6 (p=0.008). PH80 also demonstrated statistically and clinically significant improvement versus placebo at Day 6 on the clinician-rated Premenstrual Tension Scale (</w:t>
      </w:r>
      <w:r>
        <w:rPr>
          <w:rFonts w:ascii="Times New Roman" w:cs="Times New Roman" w:eastAsia="Times New Roman" w:hAnsi="Times New Roman"/>
          <w:sz w:val="18"/>
          <w:szCs w:val="18"/>
          <w:i w:val="1"/>
          <w:iCs w:val="1"/>
          <w:color w:val="auto"/>
        </w:rPr>
        <w:t>PMTS</w:t>
      </w:r>
      <w:r>
        <w:rPr>
          <w:rFonts w:ascii="Times New Roman" w:cs="Times New Roman" w:eastAsia="Times New Roman" w:hAnsi="Times New Roman"/>
          <w:sz w:val="18"/>
          <w:szCs w:val="18"/>
          <w:color w:val="auto"/>
        </w:rPr>
        <w:t>) total score (p=0.006). PH80 was well-tolerated with no SAEs. The most common TEAE was headache, reported by 17% in the placebo group and 7% in the PH80 group. No other TEAE occurred more than once per subject.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preparing to conduct certain nonclinical studies during the 2024 calendar year necessary to submit our U.S. IND for potential Phase 2B clinical development of PH80 in the U.S. for one or more women’s health indications.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PH15 Nasal Spray for Cognitive and Psychomotor Performance and Improvement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PH15 is an odorless, tasteless synthetic investigational pherine nasal spray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potential path forward for PH15, including an assessment of completed studies and studies we believe are necessary to submit a U.S. IND for potential further Phase 2 clinical development of PH15 in the U.S., including the appropriate indication for demonstrating improvement of cognitive function.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PH284 Nasal Spray for Cachexia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PH284 is an odorless, tasteless synthetic investigational pherine nasal spray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potential path forward for PH284, including an assessment of completed studies and studies we believe are necessary to submit a U.S. IND for potential further Phase 2 clinical development of PH15 for the treatment of cachexia, including the appropriate patient populations for demonstrating an increase in appetite and weight gain.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Neurological Disorders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AV-101 (4-Cl-KYN) is a novel, oral prodrug that targets the NMDAR (N-methyl-D-aspartate receptor), an ionotropic glutamate receptor in the brain. Based on observations and findings from preclinical studies, we believe AV-101 has the potential to become a new oral treatment alternative for multiple neuroscience disorders, including levodopa-induced dyskinesia and neuropathic pain among others. We are currently assessing a path forward for potential Phase 2A clinical development of AV-101, either on our own or with collaborators, as a treatment for levodopa-induced dyskinesia associated with Parkinson’s disease therapy and possibly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or more additional neurological disorders involving the NMDAR receptor.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FDA has granted Fast Track designation for the investigation of AV-101 for the treatment of neuropathic pain and for the adjunctive treatment of MDD.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2023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October 2, 2023, we entered into an underwriting agreement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xml:space="preserve">) with Jefferies, Stifel, Nicolaus &amp; Company, Incorporated, and William Blair &amp; Company, L.L.C., as the representatives of the underwriters identified therein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xml:space="preserve">), in connection with the underwritten offering, issuance and sale by us of 15,010,810 shares of our common stock, pre-funded warrants to purchase up to 3,577,240 shares of common stock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warrants to purchase up to 9,294,022 shares of common stock (or pre-funded warrants to purchase up to 9,294,022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in lieu thereof) (the </w:t>
      </w:r>
      <w:r>
        <w:rPr>
          <w:rFonts w:ascii="Times New Roman" w:cs="Times New Roman" w:eastAsia="Times New Roman" w:hAnsi="Times New Roman"/>
          <w:sz w:val="18"/>
          <w:szCs w:val="18"/>
          <w:i w:val="1"/>
          <w:iCs w:val="1"/>
          <w:color w:val="auto"/>
        </w:rPr>
        <w:t>T1 Warrants</w:t>
      </w:r>
      <w:r>
        <w:rPr>
          <w:rFonts w:ascii="Times New Roman" w:cs="Times New Roman" w:eastAsia="Times New Roman" w:hAnsi="Times New Roman"/>
          <w:sz w:val="18"/>
          <w:szCs w:val="18"/>
          <w:color w:val="auto"/>
        </w:rPr>
        <w:t xml:space="preserve">) and warrants to purchase 11,265,086 shares of common stock (or pre-funded warrants to purchase up to 11,265,086 shares of common stock in lieu thereof) (the </w:t>
      </w:r>
      <w:r>
        <w:rPr>
          <w:rFonts w:ascii="Times New Roman" w:cs="Times New Roman" w:eastAsia="Times New Roman" w:hAnsi="Times New Roman"/>
          <w:sz w:val="18"/>
          <w:szCs w:val="18"/>
          <w:i w:val="1"/>
          <w:iCs w:val="1"/>
          <w:color w:val="auto"/>
        </w:rPr>
        <w:t>T2 Warrants</w:t>
      </w:r>
      <w:r>
        <w:rPr>
          <w:rFonts w:ascii="Times New Roman" w:cs="Times New Roman" w:eastAsia="Times New Roman" w:hAnsi="Times New Roman"/>
          <w:sz w:val="18"/>
          <w:szCs w:val="18"/>
          <w:color w:val="auto"/>
        </w:rPr>
        <w:t xml:space="preserve">). The combined offering price for each share of common stock, accompanying T1 Warrant, and accompanying T2 Warrant was $5.38. The combined offering price per Pre-Funded Warrant, accompanying T1 Warrant, and accompanying T2 Warrant was $5.379. The securities were issued pursuant to the Company’s effective shelf registration statement on Form S-3 (File No. 333-254299) (the </w:t>
      </w:r>
      <w:r>
        <w:rPr>
          <w:rFonts w:ascii="Times New Roman" w:cs="Times New Roman" w:eastAsia="Times New Roman" w:hAnsi="Times New Roman"/>
          <w:sz w:val="18"/>
          <w:szCs w:val="18"/>
          <w:i w:val="1"/>
          <w:iCs w:val="1"/>
          <w:color w:val="auto"/>
        </w:rPr>
        <w:t>S-3 Shelf Registration Statement</w:t>
      </w:r>
      <w:r>
        <w:rPr>
          <w:rFonts w:ascii="Times New Roman" w:cs="Times New Roman" w:eastAsia="Times New Roman" w:hAnsi="Times New Roman"/>
          <w:sz w:val="18"/>
          <w:szCs w:val="18"/>
          <w:color w:val="auto"/>
        </w:rPr>
        <w:t>) and a related prospectus supplement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October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October 2023 Public Offering closed on October 4, 2023, at which time we received net proceeds of approximately $93.5 million, after deducting underwriting discounts and commissions and estimated offering expense payable by the Company. Refer to Note 5,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additional information regarding the securities offered, issued and sold in connection with the October 2023 Public Offering.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Fuji Pharma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 2023, we entered into an Exclusive Negotiation Agreement (the </w:t>
      </w:r>
      <w:r>
        <w:rPr>
          <w:rFonts w:ascii="Times New Roman" w:cs="Times New Roman" w:eastAsia="Times New Roman" w:hAnsi="Times New Roman"/>
          <w:sz w:val="18"/>
          <w:szCs w:val="18"/>
          <w:i w:val="1"/>
          <w:iCs w:val="1"/>
          <w:color w:val="auto"/>
        </w:rPr>
        <w:t>Negotiation Agreement</w:t>
      </w:r>
      <w:r>
        <w:rPr>
          <w:rFonts w:ascii="Times New Roman" w:cs="Times New Roman" w:eastAsia="Times New Roman" w:hAnsi="Times New Roman"/>
          <w:sz w:val="18"/>
          <w:szCs w:val="18"/>
          <w:color w:val="auto"/>
        </w:rPr>
        <w:t>) with Fuji Pharma Co., Ltd. (</w:t>
      </w:r>
      <w:r>
        <w:rPr>
          <w:rFonts w:ascii="Times New Roman" w:cs="Times New Roman" w:eastAsia="Times New Roman" w:hAnsi="Times New Roman"/>
          <w:sz w:val="18"/>
          <w:szCs w:val="18"/>
          <w:i w:val="1"/>
          <w:iCs w:val="1"/>
          <w:color w:val="auto"/>
        </w:rPr>
        <w:t>Fuji Pharma</w:t>
      </w:r>
      <w:r>
        <w:rPr>
          <w:rFonts w:ascii="Times New Roman" w:cs="Times New Roman" w:eastAsia="Times New Roman" w:hAnsi="Times New Roman"/>
          <w:sz w:val="18"/>
          <w:szCs w:val="18"/>
          <w:color w:val="auto"/>
        </w:rPr>
        <w:t xml:space="preserve">), a Tokyo Stock Exchange-listed, Japan-based pharmaceutical company. Pursuant to the terms and conditions of the Negotiation Agreement, we agreed, for a limited period of time, to negotiate exclusively with Fuji Pharma a potential exclusive license agreement, to develop and commercialize our PH80 product candidate in Japan (the </w:t>
      </w:r>
      <w:r>
        <w:rPr>
          <w:rFonts w:ascii="Times New Roman" w:cs="Times New Roman" w:eastAsia="Times New Roman" w:hAnsi="Times New Roman"/>
          <w:sz w:val="18"/>
          <w:szCs w:val="18"/>
          <w:i w:val="1"/>
          <w:iCs w:val="1"/>
          <w:color w:val="auto"/>
        </w:rPr>
        <w:t>Potential Definitive Agreement</w:t>
      </w:r>
      <w:r>
        <w:rPr>
          <w:rFonts w:ascii="Times New Roman" w:cs="Times New Roman" w:eastAsia="Times New Roman" w:hAnsi="Times New Roman"/>
          <w:sz w:val="18"/>
          <w:szCs w:val="18"/>
          <w:color w:val="auto"/>
        </w:rPr>
        <w:t>). The Negotiation Agreement provides for an exclusive negotiation period beginning on the date of formal written notice being received by Fuji Pharma that we have selected a contract development and manufacturing organization to conduct certain toxicology studies for the product candidate (</w:t>
      </w:r>
      <w:r>
        <w:rPr>
          <w:rFonts w:ascii="Times New Roman" w:cs="Times New Roman" w:eastAsia="Times New Roman" w:hAnsi="Times New Roman"/>
          <w:sz w:val="18"/>
          <w:szCs w:val="18"/>
          <w:i w:val="1"/>
          <w:iCs w:val="1"/>
          <w:color w:val="auto"/>
        </w:rPr>
        <w:t>Payment Event</w:t>
      </w:r>
      <w:r>
        <w:rPr>
          <w:rFonts w:ascii="Times New Roman" w:cs="Times New Roman" w:eastAsia="Times New Roman" w:hAnsi="Times New Roman"/>
          <w:sz w:val="18"/>
          <w:szCs w:val="18"/>
          <w:color w:val="auto"/>
        </w:rPr>
        <w:t>), and terminating on the later to occur of (i) fourteen (14) months from the date of the Payment Event or (ii) ninety (90) days from the date that the U.S. Food and Drug Administration accepts an Investigational New Drug application for PH80 for the treatment of vasomotor symptoms (hot flashes) due to menopause (</w:t>
      </w:r>
      <w:r>
        <w:rPr>
          <w:rFonts w:ascii="Times New Roman" w:cs="Times New Roman" w:eastAsia="Times New Roman" w:hAnsi="Times New Roman"/>
          <w:sz w:val="18"/>
          <w:szCs w:val="18"/>
          <w:i w:val="1"/>
          <w:iCs w:val="1"/>
          <w:color w:val="auto"/>
        </w:rPr>
        <w:t>Exclusive Negotiation Period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of $1.5 million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payable upon the Payment Event, which occurred in October 2023. We received the payment for the Payment Event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wholly-owned subsidiaries consist of Pherin Pharmaceuticals, Inc, a Delaware corporation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and Vistastem, Inc., a California corporation founded in 1998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For the relevant periods, our condensed consolidated financial statements in this Report also include the accounts of Vistastem’s two wholly-owned inactive subsidiaries, Artemis Neuroscience, Inc., a Maryland corporation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which was dissolved in April 2022, and VistaStem Canada, Inc., a corporation organized under the laws of Ontario, Canada (</w:t>
      </w:r>
      <w:r>
        <w:rPr>
          <w:rFonts w:ascii="Times New Roman" w:cs="Times New Roman" w:eastAsia="Times New Roman" w:hAnsi="Times New Roman"/>
          <w:sz w:val="18"/>
          <w:szCs w:val="18"/>
          <w:i w:val="1"/>
          <w:iCs w:val="1"/>
          <w:color w:val="auto"/>
        </w:rPr>
        <w:t>VistaStem Canada</w:t>
      </w:r>
      <w:r>
        <w:rPr>
          <w:rFonts w:ascii="Times New Roman" w:cs="Times New Roman" w:eastAsia="Times New Roman" w:hAnsi="Times New Roman"/>
          <w:sz w:val="18"/>
          <w:szCs w:val="18"/>
          <w:color w:val="auto"/>
        </w:rPr>
        <w:t>), which was dissolved in June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fiscal year ended March 31, 2023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as filed with the SEC on June 28, 2023. There have been no changes in significant accounting estimates during the nine months ended December 31, 2023, since those disclosed in our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inception, we have devoted substantial resources to advancing initiatives related to research, development, and contract manufacturing of our investigational intranasal neuroactive pherine product candidates, fasedienol and itruvone,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Throughout Fiscal 2022 and Fiscal 2023, we allocated significant resources to our PALISADE-1 and PALISADE-2 clinical trials conducted as a part of our PALISADE Phase 3 Program evaluating fasedienol for the acute treatment of anxiety in adults with SAD. In the first two quarters of our fiscal year ending March 31, 2024 (</w:t>
      </w:r>
      <w:r>
        <w:rPr>
          <w:rFonts w:ascii="Times New Roman" w:cs="Times New Roman" w:eastAsia="Times New Roman" w:hAnsi="Times New Roman"/>
          <w:sz w:val="18"/>
          <w:szCs w:val="18"/>
          <w:i w:val="1"/>
          <w:iCs w:val="1"/>
          <w:color w:val="auto"/>
        </w:rPr>
        <w:t>Fiscal 2024</w:t>
      </w:r>
      <w:r>
        <w:rPr>
          <w:rFonts w:ascii="Times New Roman" w:cs="Times New Roman" w:eastAsia="Times New Roman" w:hAnsi="Times New Roman"/>
          <w:sz w:val="18"/>
          <w:szCs w:val="18"/>
          <w:color w:val="auto"/>
        </w:rPr>
        <w:t>), we have continued to focus our efforts on fasedienol and preparing to launch the next clinical trials in our PALISADE Phase 3 Program for fasedienol in SAD. In addition, we are continuing to conduct various preclinical and clinical studies and manufacturing activities for other investigational pherine product candidates. We have ongoing initiatives for creating, protecting and patenting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related to our product candidates and technologies and raising sufficient working capital to fund these studies, initiatives, and other activities. At December 31, 2023, we had an accumulated deficit of approximately $346.7 million. Our net loss for Fiscal 2023 and Fiscal 2022 was approximately $59.2 million and $47.8 million, respectively, and we incurred a net loss of approximately $19.8 million for the nine months ended December 31, 2023. We expect losses to continue for the foreseeable future as we engage in further research, development, manufacturing and regulatory activities related to fasedienol, itruvone, PH80 and, potentially, additional pherines we acquired through our acquisition of Pherin in February 2023. We have not yet achieved recurring revenue-generating status from any of our product candidates or technologies in amounts sufficient to sustain our operations and enable our strategic business plans.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5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and nine months ended December 31, 2023 and 2022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46,626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(47,021)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$411,400 and $866,700 in sublicense and other revenue for the three and nine months ended December 31, 2023, as compared to $179,600 and ($402,900) for the three and nine months ended December 31, 2022. At September 30, 2022, we extended the date in our estimate to complete the performance obligation under the AffaMed Agreement. As a result of the change in our estimate of the time required to complete our performance obligation, we recorded a cumulative catch-up adjustment at September 30, 2022, which resulted in derecognition of an aggregate of $892,500 of previously recognized revenue.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consists of the following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w:t>
            </w:r>
          </w:p>
        </w:tc>
        <w:tc>
          <w:tcPr>
            <w:tcW w:w="1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Clinical and development expenses: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Fasedienol and Itruvone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26,886</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AV-101</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clinical and developmental expense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all other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35,040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December 31, 2023, the decrease in research and development expense as compared to the same periods in 2022 was primarily due to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development expense decreased by $3.3 million and $22.8 million for the three and nine months ended December 31, 2023, respectively, primarily related to timing of expenses incurred of Phase 3 trials of fasedienol in SAD including study closing costs for the PALISADE-1 and PALISADE-2.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decrease was partially offset by an increase in compensation and related costs of $0.7 million for the three months ended December 31, 2023, due to additional compensation costs being earned and paid in October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and clinical trials, continue to discover and develop additional product candidates and expand our pipeline and contract manufacturing and regulatory activities, maintain, expand, protect and enforce our IP portfolio, and hire additional personnel.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consists of the following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Insurance, occupancy and all other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2023, the increase in general and administrative expense, as compared to the same period in 2022, was primarily due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related general and administrative expenses increased by $0.8 million for the three months ended December 31, 2023, primarily due to additional compensation costs being earned and paid in October 2023.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increase was partially offset by a decrease in stock-based compensation expense for the three months ended December 31, 2023, primarily due to historical option grants becoming fully vested with no significant new option grants.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2023, the decrease in general and administrative expense, as compared to the same period in 2022, was primarily due to the following:</w:t>
      </w:r>
    </w:p>
    <w:p>
      <w:pPr>
        <w:spacing w:after="0" w:line="162"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decreased by $0.9 million for the nine months ended December 31, 2023, primarily due to option grants becoming fully vested with no significant new option grants; and</w:t>
      </w: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services decreased by $1.6 million for the nine months ended December 31, 2023, primarily due to professional service fees expensed in the nine months ended December 31, 2022, for pre-commercial activities as well as service fees associated with a potential credit facility offering that was not consummated as a result of the outcome of our PALISADE-1 clinical trial, which did not recur.</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increased research and development, manufacturing, and pre-commercialization activities, as well as the increased costs associated with operating as a public company, including expenses related to accounting, audit, legal, regulatory and tax-related services associated with maintaining compliance with the rules and regulations of the SEC and the Nasdaq listing rules, additional insurance expenses, investor relations activities and other administrative and professional services. In addition, if we obtain regulatory approval for any of our product candidates, we expect to incur expenses associated with building a sales and marketing team if we choose to commercialize such product candidates on our 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increased in the three and nine months ended December 31, 2023 as compared with the same periods in 2022 due to increases in interest rates as well as interest earned on cash proceeds received from issuance of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in May 1998 through December 31, 2023, we have financed our operations and technology acquisitions primarily through the issuance and sale of our equity and debt securities for cash proceeds of approximately $338.5 million, as well as from an aggregate of approximately $22.7 million of government research grant awards (excluding the fair market value of government-sponsored and funded clinical trials), strategic collaboration payments and intellectual property licensing, and other revenues. Additionally, we have issued equity securities with an approximate value at issuance of $41.3 million in non-cash acquisitions of product licenses, our acquisition of Pherin in February 2023, and in settlements of certain liabilities, including liabilities for professional services rendered to us or as compensation for such services.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December 31, 2023, we sold 4,698,495 shares of our common stock under the terms of our Sales Agreement for net cash proceeds of approximately $36.2 million. In addition, during the quarter ended December 31, 2023, we received net proceeds of approximately $93.5 million from the October 2023 Public Offering and $1.5 million from Fuji Pharma under the Negotiation Agreement. These financings and other transactions consummated in Fiscal 2024, as well as financings and other transactions consummated prior to Fiscal 2024, have provided the primary sources of our liquidity.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cash and cash equivalents of approximately $126.6 million at December 31, 2023, which we believe is sufficient to fund our planned operations for more than twelve months following the issuance of these unaudited condensed consolidated financial statements. We are continuing to manage our cash resources as we prepare to launch our PALISADE-3 and PALISADE-4 Phase 3 clinical trials of fasedienol as a potential new acute treatment of anxiety in adults with SAD, as well as a potential Phase 2B trial of itruvone monotherapy in MDD and nonclinical studies of our other pherine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 We may satisfy our future cash needs through sale of equity or debt securities, government grants and research awards, and/or partnering collaborations or license agreements.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necessary and/or advantageous, we will seek additional capital to fund our planned operations through (i) sales of our equity and/or debt securities in one or more public offerings and/or private placements, including sales of our securities under the Sales Agreement, (ii) non-dilutive government grants and research awards and/or (iii) non-dilutive strategic partnering collaborations to advance development and commercialization of our product candidates. However, no assurance can be provided that any such sales of our securities, awards, agreements or collaborations will occur in the future. While we may make additional sales of our equity securities, we do not have an obligation to do so.</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investigational product candidates, and the availability of, and our ability to enter into financing transactions and research, development and commercialization collaborations on terms acceptable to us. In the future, to further advance the clinical development and potential commercialization of our product candidates, as well as support our operating activities, we plan to seek additional financing, including both equity-based capital and funding from non-dilutive sources, and continue to carefully manage our operating costs, including, but not limited to, our clinical and nonclinical programs.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future financings will be available to us in sufficient amounts, in a timely manner, or on terms acceptable to us, if at all, or that current or future development and commercialization collaborations will generate revenue from future potential milestone payments or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3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(18,616)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128,569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109,921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(43,098)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126,559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50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2023, cash used in operations was $18.6 million compared to $42.2 million for the nine months ended December 31, 2022. The decrease in cash used in operations is primarily due to a decrease in net loss as a result of our conclusion of fasedienol Phase 3 clinical trials, including PALISADE-2, and a decrease in compensation and related expense due to the results of PALISADE-1.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the nine months ended December 31, 2023, primarily reflects net proceeds from our transactions under the Sales Agreement, as well as proceeds from the October 2023 Public Offering and the payment from Fuji Pharma under the Negotiation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in our contractual obligations and commitments during the nine months ended December 31, 2023,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and nine months ended December 31, 2023, as compared to the critical accounting policies and estimates disclosed in “Management’s Discussion and Analysis of Financial Condition and Results of Operations” included in our Annual Report.</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and Exchange Act of 1934 as amended (the Exchange Act) and in Item 10(f)(1) of Regulation S-K and are not required to provide the information under this item.</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2023. The term “disclosure controls and procedures” as defined in Rule 13a-15(e) of the Exchange Act, ,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executive vice president, Chief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of the Exchange Act) from that described in our Annual Report that occurred during the quarter ended December 31, 2023, to which this Report relates,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before investing in our securities. These risks include, among others:</w:t>
      </w:r>
    </w:p>
    <w:p>
      <w:pPr>
        <w:spacing w:after="0" w:line="175" w:lineRule="exact"/>
        <w:rPr>
          <w:sz w:val="20"/>
          <w:szCs w:val="20"/>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or nonclinical studies in any of our development programs may not be sufficient to cause the FDA to approve any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biopharmaceutical company with no revenues from product sales or approved products, and limited experience developing new drug candidates, which makes it difficult to assess our future viability;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future clinical studies of our product candidates, or delays in the commencement or completion of our planned clinical trials, could result in increased costs to us and could delay, prevent or limit our ability to generate revenue and continue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financing to execute our long-term business plan, including further development and potential commercialization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or attract key management and scientific personnel, we may be unable to successfully produce, develop, and commercialize our product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 and</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and uncertainties,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below.</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of therapeutic products, which makes it difficult to assess our future viability.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development-stage biopharmaceutical company. We currently have no approved products and no revenue from product sales, and we have not yet fully demonstrated an ability to overcome many of the fundamental risks and uncertainties frequently encountered by development-stage companies in new and rapidly evolving fields of technology in the biopharmaceutical industry. To execute our business plan successfully, we will need to accomplish or continue to accomplish the following fundamental objectives, either on our own or with collaborators:</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any of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and</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development, manufacturing, regulatory approval and commercialization activities related to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execute our long-term business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our inception in 1998 through 2019, a substantial portion of our resources were dedicated to research and development of AV-101 and the stem cell technology platform of our wholly-owned subsidiary, Vistastem. Since 2019, we have expended a considerable portion of our resources for research, development, manufacturing, and regulatory expense related to fasedienol and itruvone, including costs related to our PALISADE Phase 3 Program for fasedienol in SAD and our IND application-enabling program for itruvone in MDD, including our itruvone Phase 1 safety study. We expect to continue to expend substantial resources for the foreseeable future developing fasedienol, itruvone, PH80 and our other pherine product candidates, on our own and in strategic collaborations. These expenditures will include costs associated with general and administrative costs, facilities costs, research and development, acquiring new technologies, manufacturing product candidates, conducting nonclinical experiments and clinical trials, obtaining regulatory approvals and commercialization, should the FDA approve any of our product candidates for sale.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cash and cash equivalents of approximately $126.6 million at December 31, 2023, and we have not yet developed products that generate recurring revenue. Assuming successful results from of our planned clinical and nonclinical programs, we will need to invest substantial additional capital resources to commercialize any of them.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expect to generate sustainable positive operating cash flows until, and unless, we (i) obtain approval from the FDA and other regulatory authorities and successfully commercialize fasedienol, or one or more of our other product candidates, on our own or (ii) out-license or sell a product candidate to a third-party that is subsequently successfully developed and commercialized.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any of our product candidates, on our own or in collaboration with others. As in prior periods, we will continue to incur substantial costs associated with other clinical and nonclinical development programs for our product candidates. In addition, other unanticipated costs may arise. 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favorable market conditions or strategic considerations, even if we believe we have sufficient funds for our current or future operating plans and requirements.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in the past a range of financing transactions, including public or private equity or debt financings, government or other third-party funding, development and commercialization collaborations, strategic alliances and licensing arrangements, or a combination of these approaches, and we intend to pursue and complete additional financing arrangements in the future. Our future capital requirements may depend on many factors, including: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commercializing our product candidates, and conducting preclinical and clinical studies;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formulating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collaborative arrangements and the financial terms of such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research and development programs;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maintaining and enforcing patents to preserve our 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defending against such claims that we infringe third-party patents or violate other intellectual property rights and the outcome of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invest in additional businesses, product candidates and technologies.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discontinue one or more of our research or product development and commercialization programs or be unable to continue or expand our operations or otherwise capitalize on our business opportunities, as desired, which could materially affect our business, financial condition and results of operations.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ability to successfully develop, any of our current product candidates or acquire or license additional product candidates, and we cannot provide any assurance that we will successfully develop and obtain regulatory approval of any of our current product candidates or future product candidates, or that, if approved, any of our product candidates will be successfully commercialized.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development and research and development programs designed to identify, acquire or license additional product candidates require substantial technical, financial and human resources, whether or not any additional product candidate is acquired or licensed. If beneficial, we may seek to collaborate with others to develop and commercialize any of our current or future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of clinical studies of our product candidates could result in increased costs to us and could delay, prevent or limit our ability to generate revenue and continue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our PALISADE-2 Phase 3 clinical trial of fasedienol for the acute treatment of anxiety in adults with SAD met its primary efficacy endpoint, as measured by change from baseline using the SUDS as compared to placebo, our PALISADE-1 Phase 3 clinical study did not achieve its primary efficacy endpoint. Successful results from our nonclinical and clinical trials, including future clinical trials in our PALISADE Phase 3 development program in SAD, are a prerequisite to submitting an NDA and, consequently, the ultimate approval required before commercial marketing of any product candidate we may develop. Failure of any of our current and/or future clinical and nonclinical trials to achieve the planned endpoints, such as our PALISADE-1 Phase 3 clinical trial of fasedienol, could result in increased costs to us and could delay, prevent or limit our ability to generate revenue and continue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drug candidates and we cannot be certain that we will be able to obtain regulatory approval for any of our product candidates.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have no drug products for sale and may never be able to develop marketable drug products. Our business currently depends heavily on the successful development, manufacturing and regulatory approval of one or more of our current drug candidates, as well as our ability to acquire, license or produce and develop additional product candidates. Each of our current investigational drug candidates will require substantial additional nonclinical and clinical development, manufacturing and regulatory approval before any of them may be commercialized, and there can be no assurance that any of them will ever achieve regulatory approval and/or commercialization.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until we receive approval of an NDA from the FDA, or in any foreign countries until we receive the requisite approval from such countries. Obtaining FDA approval of an NDA is a complex, lengthy, expensive and uncertain process. The FDA may refuse to permit the filing of our NDA, delay, limit or deny approval of an NDA for many reasons, including, among others: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may recommend, or the FDA may require, a Risk Evaluation and Mitigation Strategies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safety program as a condition of approval or post-approval;</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or the FDA or applicable regulatory agency may determine that there is insufficient evidence of overall effectiveness or safety in an NDA and require additional clinical studies;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 w:cs="Times New Roman" w:eastAsia="Times New Roman" w:hAnsi="Times New Roman"/>
          <w:sz w:val="18"/>
          <w:szCs w:val="18"/>
          <w:i w:val="1"/>
          <w:iCs w:val="1"/>
          <w:color w:val="auto"/>
        </w:rPr>
        <w:t>cGMPs</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pherine product candidates, including fasedienol and itruvone,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Times New Roman" w:cs="Times New Roman" w:eastAsia="Times New Roman" w:hAnsi="Times New Roman"/>
          <w:sz w:val="18"/>
          <w:szCs w:val="18"/>
          <w:i w:val="1"/>
          <w:iCs w:val="1"/>
          <w:color w:val="auto"/>
        </w:rPr>
        <w:t>QS</w:t>
      </w:r>
      <w:r>
        <w:rPr>
          <w:rFonts w:ascii="Times New Roman" w:cs="Times New Roman" w:eastAsia="Times New Roman" w:hAnsi="Times New Roman"/>
          <w:sz w:val="18"/>
          <w:szCs w:val="18"/>
          <w:color w:val="auto"/>
        </w:rPr>
        <w:t>) regulations applicable to medical devices. Problems associated with the device component of the combination product candidate may delay or prevent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adversely impact our business.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late-2019, a new strain of coronavirus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spread across the world and caused considerable uncertainty about the potential effects of the virus and its variants,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 The COVID-19 pandemic has impacted our business and may continue to do so. Additionally, future outbreaks may have several adverse effects on our business, results of operations and financial condition.</w:t>
      </w:r>
    </w:p>
    <w:p>
      <w:pPr>
        <w:spacing w:after="0" w:line="181" w:lineRule="exact"/>
        <w:rPr>
          <w:sz w:val="20"/>
          <w:szCs w:val="20"/>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Adverse impact on product development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Recent medical literature has reported that the SARS-COV-2 virus, which causes COVID-19,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long-term and reversible olfactory dysfunction (</w:t>
      </w:r>
      <w:r>
        <w:rPr>
          <w:rFonts w:ascii="Times New Roman" w:cs="Times New Roman" w:eastAsia="Times New Roman" w:hAnsi="Times New Roman"/>
          <w:sz w:val="18"/>
          <w:szCs w:val="18"/>
          <w:i w:val="1"/>
          <w:iCs w:val="1"/>
          <w:color w:val="auto"/>
        </w:rPr>
        <w:t>OD</w:t>
      </w:r>
      <w:r>
        <w:rPr>
          <w:rFonts w:ascii="Times New Roman" w:cs="Times New Roman" w:eastAsia="Times New Roman" w:hAnsi="Times New Roman"/>
          <w:sz w:val="18"/>
          <w:szCs w:val="18"/>
          <w:color w:val="auto"/>
        </w:rPr>
        <w:t>) in approximately 30% of affected individuals. OD may occur in cases where the SARS-COV-2 virus damages the nasal chemosensory epithelium, a structure in the nose where the types of cells are found that respond to pherines such as fasedienol, itruvone, PH15, PH80 and PH284. Accordingly, there is a risk that the prevalence of OD caused by COVID-19 infections may interfere with the ability of our pherine nasal sprays to provide a therapeutic benefit, which, may, in turn, have a materially adverse impact on results of our clinical trials designed to assess the efficacy of these product candidates or a negative impact on potential future sales should any of our pherine nasal sprays be approved for commercialization.</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Negative impacts on our employees, collaborators and suppliers</w:t>
      </w:r>
      <w:r>
        <w:rPr>
          <w:rFonts w:ascii="Times New Roman" w:cs="Times New Roman" w:eastAsia="Times New Roman" w:hAnsi="Times New Roman"/>
          <w:sz w:val="18"/>
          <w:szCs w:val="18"/>
          <w:color w:val="auto"/>
        </w:rPr>
        <w:t>: COVID-19 impacted, and variant and subvariant strains of COVID-19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During the acute phase of the COVID-19 pandemic, we experienced delays in the delivery of supplies of active pharmaceutical product (</w:t>
      </w:r>
      <w:r>
        <w:rPr>
          <w:rFonts w:ascii="Times New Roman" w:cs="Times New Roman" w:eastAsia="Times New Roman" w:hAnsi="Times New Roman"/>
          <w:sz w:val="18"/>
          <w:szCs w:val="18"/>
          <w:i w:val="1"/>
          <w:iCs w:val="1"/>
          <w:color w:val="auto"/>
        </w:rPr>
        <w:t>API</w:t>
      </w:r>
      <w:r>
        <w:rPr>
          <w:rFonts w:ascii="Times New Roman" w:cs="Times New Roman" w:eastAsia="Times New Roman" w:hAnsi="Times New Roman"/>
          <w:sz w:val="18"/>
          <w:szCs w:val="18"/>
          <w:color w:val="auto"/>
        </w:rPr>
        <w:t>) required to continue development of fasedienol and itruvone.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product development efforts and results of operations and liquidity could be adversely impacted by residual effects of the COVID-19 pandemic, or another highly transmissible and pathogenic infectious disease, particularly one with the potential to cause OD.</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been granted Fast Track designation from the FDA for development of fasedienol for the treatment of SAD, itruvone for the treatment of MDD and AV-101 for the adjunctive treatment of MDD and for the treatment of neuropathic pain (NP). However, these designations may not actually lead to faster development or regulatory review or approval processes for fasedienol, itruvone or AV-101. Further, there is no guarantee the FDA will grant Fast Track designation for fasedienol, itruvone or AV-101 as a treatment option for other neuroscience indications or for any of our other product candidates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fasedienol for the treatment of SAD. In December 2022, the FDA granted Fast Track designation for the development of itruvone for the treatment of MDD. However, these FDA Fast Track designations may not lead to a faster development or regulatory review or approval process for fasedienol, itruvone, or AV-101, and the FDA may withdraw Fast Track designation of fasedienol, itruvone, AV-101, or itruvone if it believes that the respective designation is no longer supported by data from our clinical development programs.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apply for Fast Track designation for fasedienol, itruvone, AV-101, and any of our other product candidates as a treatment option for other neuroscience indications. The FDA has broad discretion whether or not to grant a Fast Track designation, and even if we believe our product candidates may be eligible for this designation, we cannot be sure that the FDA will grant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current and/or our other future product candidates, if any, including positive results, may not be predictive of the results of later-stage clinical trials. Each of our current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studies fail to produce positive results, the development timeline and regulatory approval and commercialization prospects for these candidates and, correspondingly, our business and financial prospects, could be materially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later-stage clinical trials, approval and commercialization, such changes do carry the risk that they will not achieve these intended objectives.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the timing of planned clinical trials were affected by delays caused by the COVID-19 pandemic, including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resulting from the COVID-19 pandemic could cause us to incur additional costs or delay initiation or completion of planned clinical and/or nonclinical trials.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or safety concerns attributable to our product candidates occur, the clinical development of our product candidates may be delayed or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were reported in any clinical trials of any of our product candidates completed to date, if treatment-related SAEs or other undesirable side effects or safety concerns, or unexpected characteristics attributable to any of our product candidates are reported in any future clinical trials involving our drug candidates, they may adversely affect or delay our clinical development and commercialization of the affected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62" w:lineRule="exact"/>
        <w:rPr>
          <w:sz w:val="20"/>
          <w:szCs w:val="20"/>
          <w:color w:val="auto"/>
        </w:rPr>
      </w:pPr>
    </w:p>
    <w:p>
      <w:pPr>
        <w:ind w:left="5540" w:right="1660" w:hanging="5208"/>
        <w:spacing w:after="0" w:line="563" w:lineRule="auto"/>
        <w:tabs>
          <w:tab w:leader="none" w:pos="6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and require us to take them off the market;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REMS drug safety program or REMS-like plan to ensure that the benefits of the product outweigh its risks;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post-marketing studies or surveillance;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nonclinical and clinical studies of our product candidates could result in increased costs to us and could delay, prevent or limit our ability to generate revenue and continue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need to successfully complete at least two adequate and well-controlled Phase 3 clinical trials and certain other clinical and nonclinical studies prior to our potential submission of an NDA for regulatory approval of fasedienol as an acute treatment of anxiety in adults with SAD. For itruvone, at present, we believe we will need to complete at least one additional Phase 2B clinical study, at least two adequate and well-controlled Phase 3 clinical trials, as well as standard nonclinical and long-term clinical safety studies, as well as other smaller clinical studies prior to the potential submission of a NDA for regulatory approval of itruvone as a stand-alone rapid-onset treatment for MDD, or any other depression disorder. For AV-101, we believe we will need to complete, in collaboration with a third-party, at least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neuroscience indication. For PH15, PH80 and PH284, we are in the process of determining the work required to successfully complete the clinical and nonclinical development of each of these product candidates.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any of our product candidates will be completed on schedule, if at all, as the commencement and completion of nonclinical and clinical trials can be delayed or prevented for a number of reasons, including, among others:</w:t>
      </w:r>
    </w:p>
    <w:p>
      <w:pPr>
        <w:spacing w:after="0" w:line="187"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authority may deny permission to proceed with planned clinical trials or any other clinical trials we may initiate, or may place a planned or ongoing clinical trial on hold;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approvals from regulatory authorities of additional INDs that may be required;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nonclinical or clinical studies;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clinical supplies of a product candidate meeting required quality standards;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approval to conduct a clinical trial at a prospective clinical site or sites;</w:t>
      </w:r>
    </w:p>
    <w:p>
      <w:pPr>
        <w:spacing w:after="0" w:line="2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proximity of patients to clinical trial sites;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adverse drug-related side effects experienced by patients in a clinical trial;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any endpoints utilized in a clinical trial;</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or clinical testing of other neuroscience indications or therapies that raise safety or efficacy concerns;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Times New Roman" w:cs="Times New Roman" w:eastAsia="Times New Roman" w:hAnsi="Times New Roman"/>
          <w:sz w:val="18"/>
          <w:szCs w:val="18"/>
          <w:i w:val="1"/>
          <w:iCs w:val="1"/>
          <w:color w:val="auto"/>
        </w:rPr>
        <w:t>DSMB</w:t>
      </w:r>
      <w:r>
        <w:rPr>
          <w:rFonts w:ascii="Times New Roman" w:cs="Times New Roman" w:eastAsia="Times New Roman" w:hAnsi="Times New Roman"/>
          <w:sz w:val="18"/>
          <w:szCs w:val="18"/>
          <w:color w:val="auto"/>
        </w:rPr>
        <w:t>), overseeing the clinical trial at issue or other regulatory authorities due to a number of factors, including, among others:</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approved clinical protocols;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nonclinical carcinogenicity studies, adverse side effects or lack of effectiveness;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that may lead to regulatory actions;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and complete nonclinical or clinical studies.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regulatory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guidance or unanticipated events during our nonclinical studies and clinical trials of any of our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our current and/or future product candidates may be delayed and we may not be able to obtain regulatory approval for our current or future product candidates and our business could be substantially harmed.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to augment our internal staff and provide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spacing w:after="0" w:line="1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to their operations, such as staff attrition, reduced staffing and supply chain disruptions;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 and/or undertake obligations beyond their anticipated capabilities and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Times New Roman" w:cs="Times New Roman" w:eastAsia="Times New Roman" w:hAnsi="Times New Roman"/>
          <w:sz w:val="18"/>
          <w:szCs w:val="18"/>
          <w:i w:val="1"/>
          <w:iCs w:val="1"/>
          <w:color w:val="auto"/>
        </w:rPr>
        <w:t>cGCPs</w:t>
      </w:r>
      <w:r>
        <w:rPr>
          <w:rFonts w:ascii="Times New Roman" w:cs="Times New Roman" w:eastAsia="Times New Roman" w:hAnsi="Times New Roman"/>
          <w:sz w:val="18"/>
          <w:szCs w:val="18"/>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relationships with one or more of our third-party collaborators terminate,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formulate, analyze,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API and formulate final drug product for any of our product candidates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or successfully manufacture our product candidates, including API and finished drug product, that conforms to our specifications and the strict regulatory requirements of the FDA or applicable foreign regulatory agencies, production of sufficient supplies of our product candidates, including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any of our product candidates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yet have long-term supply agreements in place with our CMOs and each batch manufactured of our product candidates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fasedienol, itruvone, PH15, PH80 and PH284, and the current and projected supply of API and finished drug product for each of our product candidates will be adequate to support our planned nonclinical and clinical studies of fasedienol, itruvone and PH80, no assurance can be given that unanticipated supply shortages or CMO-related delays in the manufacture and formulation of API and/or finished drug product for any or all of our product candidates will not occur in the future.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cs="Times New Roman" w:eastAsia="Times New Roman" w:hAnsi="Times New Roman"/>
          <w:sz w:val="18"/>
          <w:szCs w:val="18"/>
          <w:i w:val="1"/>
          <w:iCs w:val="1"/>
          <w:color w:val="auto"/>
        </w:rPr>
        <w:t>QSR</w:t>
      </w:r>
      <w:r>
        <w:rPr>
          <w:rFonts w:ascii="Times New Roman" w:cs="Times New Roman" w:eastAsia="Times New Roman" w:hAnsi="Times New Roman"/>
          <w:sz w:val="18"/>
          <w:szCs w:val="18"/>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of our product candidates in the U.S., we may never receive regulatory approval to market the same product candidate outside of the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market any of our product candidates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broad sales and marketing capabilities on our own or enter into agreements with third parties to market and sell our product candidates, we may not be able to generate any revenue from product sales.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internal resources for the sale, marketing and distribution of pharmaceutical products, and we may not be able to create broad internal capabilities in the foreseeable future. Therefore, to market our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 Moreover, creating broad sales and marketing capabilities will require substantial capital, which we may not be able to obtain on reasonable terms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 or other applicable regulatory authorities;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access and cost effectiveness;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product candidates through marketing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we may still face future development and regulatory difficulties.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8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that we initiate a product recall.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therapies could emerge adversely affecting our opportunity to generate revenue from the sale of our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management is unaware of any FDA-approved rapid-onset, treatment of anxiety in adults with SAD having the same mechanism of pharmacological action and safety profile as fasedienol. Also, management is currently unaware of any FDA-approved treatment for MDD having the same mechanism of pharmacological action and safety profile as our intranasally-administered itruvone. However, new antidepressant products with other mechanisms of pharmacological action or products approved for other indications, including the FDA-approved anesthetic ketamine hydrochloride administered intravenously, are being or may be used for treatment of MDD, as well as other neuroscience indications for which itruvone may have therapeutic potential. Additionally, other non-pharmaceutical treatment options, such psychotherapy and electroconvulsive therapy (</w:t>
      </w:r>
      <w:r>
        <w:rPr>
          <w:rFonts w:ascii="Times New Roman" w:cs="Times New Roman" w:eastAsia="Times New Roman" w:hAnsi="Times New Roman"/>
          <w:sz w:val="18"/>
          <w:szCs w:val="18"/>
          <w:i w:val="1"/>
          <w:iCs w:val="1"/>
          <w:color w:val="auto"/>
        </w:rPr>
        <w:t>ECT</w:t>
      </w:r>
      <w:r>
        <w:rPr>
          <w:rFonts w:ascii="Times New Roman" w:cs="Times New Roman" w:eastAsia="Times New Roman" w:hAnsi="Times New Roman"/>
          <w:sz w:val="18"/>
          <w:szCs w:val="18"/>
          <w:color w:val="auto"/>
        </w:rPr>
        <w:t>) are used before or instead of standard antidepressant medications to treat patients with MDD. With respect to PH80, management is currently unaware of any FDA-approved treatment for vasomotor symptoms (hot flashes) due to menopause or PMDD having the same mechanism of pharmacological action and safety profile. However, other products with other mechanisms of pharmacological action are being or may be used for treatment of menopausal hot flashes or PMDD, as well as other neuroscience indications for which PH80 may have therapeutic potential.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fasedienol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 We are still assessing our competition for PH80 for the treatment of vasomotor symptoms (hot flashes) due to menopause, and for PMDD, PH15 to improve cognitive impairment, and PH284 for the loss of appetite.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fasedienol,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itruvone for treatment of depression disorders, including MDD, PH80 for menopausal hot flashes and PMDD, and AV-101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Astellas, AstraZeneca, Axsome, Eli Lilly, GlaxoSmithKline, IntraCellular, Janssen, Lundbeck, Merck, Neurocrine, Neumora,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investigational product candidates will require substantial additional cash to fund expenses. We may decide to collaborate with pharmaceutical and biotechnology companies for the development and potential commercialization of those product candidates.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with therapeutic and commercial potential. We may fail to pursue additional development opportunities for our current product candidates or identify additional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strategically focus on a limited number of research and development programs and product candidates and are currently focused primarily on development of fasedienol, itruvone and PH80. As a result, we may forego or delay pursuit of opportunities with other product candidates or for other potential neuroscience-related indications for fasedienol and/or itruvone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87"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 Act and its application to marketing and selling practices as well as to clinical trials.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if approved. In particular, a product may not be promoted for uses that are not approved by the FDA or such other regulatory agencies as reflected in the product’s approved labeling. For example, if we receive FDA marketing approval for fasedienol as an as-needed treatment of anxiety in adults with SAD, physicians may prescribe fasedienol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our product candidates.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net losses in each fiscal year since our inception in 1998, including net losses of approximately $59.2 million and $47.8 million during our fiscal years ended March 31, 2023 and 2022, respectively, and approximately $19.8 million during the nine months ended December 31, 2023. At March 31, 2023, we had an accumulated deficit of approximately $326.9 million and our auditors have included a qualification to their opinion on our Financial Statements at March 31, 2023 as a result of the uncertainty of our ability to continue as a going concern. Our accumulated deficit increased to approximately $346.7 million at December 31, 2023.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and pre-commercialization expense to significantly increase in connection with planned nonclinical and clinical studies, and out-sourced manufacturing, of our product candidates and pre-commercialization activities.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recurring revenues.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our current and/or future product candidate, or we enter into one or more development and commercialization agreements with respect our current product candidates or one or more other future product candidates. Our ability to generate recurring revenue depends on a number of factors, including, but not limited to, our ability to:</w:t>
      </w:r>
    </w:p>
    <w:p>
      <w:pPr>
        <w:spacing w:after="0" w:line="18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nonclinical and clinical trials that meet their prescribed endpoints;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complete and compose successful regulatory submissions such as NDAs or comparable documents for both the U.S. and foreign jurisdictions;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developing a sales force and/or entering into collaborations with third parties for sales and marketing capabilities;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in the medical community and with third-party payers.</w:t>
      </w:r>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of our product candidates, and, as such, we expect to seek additional capital from future issuance(s) of our securities, which may consist of issuances of equity and/or debt securities, to fund our planned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our results of operations and the implementation of both our short-term and long-term business plan could be adversely affected by general conditions in the global economy, including conditions that are outside of our control.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Ensuring that we have adequate internal control over financial reporting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Implementing any future changes to our internal control over financial reporting may entail substantial costs to hire additional personnel, modify our existing processes and will take significant time to fully implement.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failure to maintain or implement required effective internal control over financial reporting, or any difficulties we encounter in their implementation, could result in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 or other regulatory authorities, which could require additional financial and management resources.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the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require substantial additional financing to fund future operations, including research and development activities for our product candidates,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 holders, and the terms of these debt securities could impose restrictions on operations and create a significant interest expense for us, which could have a materially adverse effect on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2023, we had federal and state net operating loss carryforwards of approximately $191.9 million and $65.2 million, respectively, which began to expire in the year ended March 31, 2022 and will continue to expire in future periods. Under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Although we have completed significantly dilutive equity offerings, including the October 2023 Public Offering, we have not yet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attract, incentivize and retain senior management and key scientific and technical personnel, we may be unable to successfully produce and develop our product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incentivize and motivate highly qualified management and technical personnel across multiple key functions, including, but not limited to clinical operations, finance, legal, human resources, information technology, CMC and quality assurance, regulatory affairs and medical affairs. We are highly dependent upon our Chief Executive Officer and Chief Financial Officer, as well as our other senior management personnel, advisors, consultants and scientific and clinical collaborators. As of the date of this Report, we have 37 full-time employees, which may make us more reliant on our individual employees than companies with a greater number of employees. The loss of services of any of these individuals could delay or prevent the successful development and commercialization of our product candidates or disrupt our administrative functions.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Competition for qualified personnel in the pharmaceuticals field is intense, and we may not be able to attract and retain quality personnel on acceptable terms.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seek to advance the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commercial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any of the product candidates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that we may develop;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or otherwise materially harm our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fasedienol, itruvone,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could significantly increase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digital and cybersecurity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 candidates, or form strategic alliances, in the future, and we may not realize the benefits of such acquisitions.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neuroscience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(PH94B), itruvone (PH10), PH80, PH15, and AV-101 and have licensed patents and patent applications related to certain stem cell technology.</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product candidates and may have filed or may file patent applications and may have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States and foreign patents and patent applications may be subject to various types of infringement and validity proceedings, including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and the damages or other remedies awarded if we prevailed may not be commercially meaningful.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660" w:hanging="328"/>
        <w:spacing w:after="0" w:line="222" w:lineRule="exact"/>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related to our product candidates or any pending patent applications, if granted and challenged by others, will include or maintain claims having a scope sufficient to protect[?]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these product candidates or any other products or product candidates against generic or other competition, particularly considering that any patent rights to these compounds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have expired;</w:t>
      </w:r>
    </w:p>
    <w:p>
      <w:pPr>
        <w:spacing w:after="0" w:line="19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infringes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United States or the European Union.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our product candidates.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commercially reasonable terms, if at all;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will need to decide where and when to pursue protection outside the 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As we have done previously, we may need to obtain licenses from third parties to advance our research or allow the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Some intellectual property that we have licensed may have been discovered through government-funded programs and thus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cs="Times New Roman" w:eastAsia="Times New Roman" w:hAnsi="Times New Roman"/>
          <w:sz w:val="18"/>
          <w:szCs w:val="18"/>
          <w:i w:val="1"/>
          <w:iCs w:val="1"/>
          <w:color w:val="auto"/>
        </w:rPr>
        <w:t>Bayh-Dole Act</w:t>
      </w:r>
      <w:r>
        <w:rPr>
          <w:rFonts w:ascii="Times New Roman" w:cs="Times New Roman" w:eastAsia="Times New Roman" w:hAnsi="Times New Roman"/>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patent law could diminish the value of patents in general, thereby impairing our ability to protect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other pharmaceutical and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cs="Times New Roman" w:eastAsia="Times New Roman" w:hAnsi="Times New Roman"/>
          <w:sz w:val="18"/>
          <w:szCs w:val="18"/>
          <w:i w:val="1"/>
          <w:iCs w:val="1"/>
          <w:color w:val="auto"/>
        </w:rPr>
        <w:t>Mayo Collaborative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DBA Mayo Medical Laboratories, et al. v. Prometheus Laboratories, Inc.</w:t>
      </w:r>
      <w:r>
        <w:rPr>
          <w:rFonts w:ascii="Times New Roman" w:cs="Times New Roman" w:eastAsia="Times New Roman" w:hAnsi="Times New Roman"/>
          <w:sz w:val="18"/>
          <w:szCs w:val="18"/>
          <w:color w:val="auto"/>
        </w:rPr>
        <w:t>, the Court held that several claims drawn to measuring drug metabolite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cs="Times New Roman" w:eastAsia="Times New Roman" w:hAnsi="Times New Roman"/>
          <w:sz w:val="18"/>
          <w:szCs w:val="18"/>
          <w:i w:val="1"/>
          <w:iCs w:val="1"/>
          <w:color w:val="auto"/>
        </w:rPr>
        <w:t>Ariosa Diagnostics, Inc. v. Sequenom, Inc</w:t>
      </w:r>
      <w:r>
        <w:rPr>
          <w:rFonts w:ascii="Times New Roman" w:cs="Times New Roman" w:eastAsia="Times New Roman" w:hAnsi="Times New Roman"/>
          <w:sz w:val="18"/>
          <w:szCs w:val="18"/>
          <w:color w:val="auto"/>
        </w:rPr>
        <w:t>., the Court of Appeals for the Federal Circuit held that methods for detecting fetal genetic defects were not patent-eligible subject matter. Other more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0"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currently in compliance with Nasdaq’s continued listing standards, no assurance can be given that we will continue to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approve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neuroscience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may cause our stock price to decline.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Restated Articles of Incorporation, as amended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As a result, our Board could authorize the issuance of additional series of preferred stock in the futures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achieve a return on their investment will depend on appreciation in the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340" w:type="dxa"/>
            <w:vAlign w:val="bottom"/>
          </w:tcPr>
          <w:p>
            <w:pPr>
              <w:spacing w:after="0"/>
              <w:rPr>
                <w:sz w:val="18"/>
                <w:szCs w:val="18"/>
                <w:color w:val="auto"/>
              </w:rPr>
            </w:pPr>
          </w:p>
        </w:tc>
      </w:tr>
      <w:tr>
        <w:trPr>
          <w:trHeight w:val="23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420" w:type="dxa"/>
            <w:vAlign w:val="bottom"/>
            <w:gridSpan w:val="3"/>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80" w:type="dxa"/>
            <w:vAlign w:val="bottom"/>
          </w:tcPr>
          <w:p>
            <w:pPr>
              <w:spacing w:after="0"/>
              <w:rPr>
                <w:sz w:val="24"/>
                <w:szCs w:val="24"/>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Agreement, dated October 24, 2023, by and between Vistagen Therapeutics, Inc. and Joshua Prince, incorporated by</w:t>
            </w:r>
          </w:p>
        </w:tc>
      </w:tr>
      <w:tr>
        <w:trPr>
          <w:trHeight w:val="218"/>
        </w:trPr>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October 26, 2023.</w:t>
            </w:r>
          </w:p>
        </w:tc>
      </w:tr>
      <w:tr>
        <w:trPr>
          <w:trHeight w:val="194"/>
        </w:trPr>
        <w:tc>
          <w:tcPr>
            <w:tcW w:w="420" w:type="dxa"/>
            <w:vAlign w:val="bottom"/>
            <w:gridSpan w:val="3"/>
          </w:tcPr>
          <w:p>
            <w:pPr>
              <w:spacing w:after="0" w:line="194"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480" w:type="dxa"/>
            <w:vAlign w:val="bottom"/>
          </w:tcPr>
          <w:p>
            <w:pPr>
              <w:spacing w:after="0"/>
              <w:rPr>
                <w:sz w:val="16"/>
                <w:szCs w:val="16"/>
                <w:color w:val="auto"/>
              </w:rPr>
            </w:pPr>
          </w:p>
        </w:tc>
        <w:tc>
          <w:tcPr>
            <w:tcW w:w="103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Amendment No. 4 to Consulting Agreement by and between the Company and FitzPatrick Co. LLC, dated November 9, 2023, incorporated</w:t>
            </w:r>
          </w:p>
        </w:tc>
      </w:tr>
      <w:tr>
        <w:trPr>
          <w:trHeight w:val="218"/>
        </w:trPr>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reference from Exhibit 10.2 to the Company’s Quarterly Report on Form 10-Q filed on November 9, 2023.</w:t>
            </w:r>
          </w:p>
        </w:tc>
      </w:tr>
      <w:tr>
        <w:trPr>
          <w:trHeight w:val="194"/>
        </w:trPr>
        <w:tc>
          <w:tcPr>
            <w:tcW w:w="9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3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Certification of the Principal Executive Officer required by Rule 13a-14(a) under the Securities Exchange Act of 1934, as amended, as</w:t>
            </w:r>
          </w:p>
        </w:tc>
      </w:tr>
      <w:tr>
        <w:trPr>
          <w:trHeight w:val="218"/>
        </w:trPr>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94"/>
        </w:trPr>
        <w:tc>
          <w:tcPr>
            <w:tcW w:w="9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3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Certification of the Principal Financial Officer required by Rule 13a-14(a) under the Securities Exchange Act of 1934, as amended, as</w:t>
            </w:r>
          </w:p>
        </w:tc>
      </w:tr>
      <w:tr>
        <w:trPr>
          <w:trHeight w:val="218"/>
        </w:trPr>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3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Certification of the Principal Executive and Financial Officers required by Rule 13a-14(b) and Section 1350 of Chapter 63 of Title 18 of the</w:t>
            </w:r>
          </w:p>
        </w:tc>
      </w:tr>
      <w:tr>
        <w:trPr>
          <w:trHeight w:val="218"/>
        </w:trPr>
        <w:tc>
          <w:tcPr>
            <w:tcW w:w="2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Code, as adopted pursuant to Section 906 of the Sarbanes-Oxley Act of 2002</w:t>
            </w:r>
          </w:p>
        </w:tc>
      </w:t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 *</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39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Shawn K. Singh</w:t>
            </w:r>
          </w:p>
        </w:tc>
      </w:tr>
      <w:tr>
        <w:trPr>
          <w:trHeight w:val="216"/>
        </w:trPr>
        <w:tc>
          <w:tcPr>
            <w:tcW w:w="5180" w:type="dxa"/>
            <w:vAlign w:val="bottom"/>
          </w:tcPr>
          <w:p>
            <w:pPr>
              <w:spacing w:after="0"/>
              <w:rPr>
                <w:sz w:val="18"/>
                <w:szCs w:val="18"/>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1900" w:type="dxa"/>
            <w:vAlign w:val="bottom"/>
            <w:gridSpan w:val="2"/>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518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391"/>
        </w:trPr>
        <w:tc>
          <w:tcPr>
            <w:tcW w:w="518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Cynthia L. Anderson</w:t>
            </w:r>
          </w:p>
        </w:tc>
      </w:tr>
      <w:tr>
        <w:trPr>
          <w:trHeight w:val="216"/>
        </w:trPr>
        <w:tc>
          <w:tcPr>
            <w:tcW w:w="5180" w:type="dxa"/>
            <w:vAlign w:val="bottom"/>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Cynthia L. Anderson</w:t>
            </w:r>
          </w:p>
        </w:tc>
        <w:tc>
          <w:tcPr>
            <w:tcW w:w="156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18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r>
        <w:trPr>
          <w:trHeight w:val="432"/>
        </w:trPr>
        <w:tc>
          <w:tcPr>
            <w:tcW w:w="518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225" w:lineRule="exact"/>
        <w:rPr>
          <w:sz w:val="20"/>
          <w:szCs w:val="20"/>
          <w:color w:val="auto"/>
        </w:rPr>
      </w:pPr>
    </w:p>
    <w:p>
      <w:pPr>
        <w:ind w:left="600" w:hanging="592"/>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5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88"/>
        <w:spacing w:after="0" w:line="266" w:lineRule="auto"/>
        <w:tabs>
          <w:tab w:leader="none" w:pos="80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10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10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8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8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8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Shawn K. Singh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5" w:name="page56"/>
    <w:bookmarkEnd w:id="55"/>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Cynthia L. Anderson, certify that:</w:t>
      </w:r>
    </w:p>
    <w:p>
      <w:pPr>
        <w:spacing w:after="0" w:line="225"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80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9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8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8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83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Cynthia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for the quarter ended December 31, 2023, as filed with the Securities and Exchange Commission on the date hereof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Shawn K. Singh, JD, the Company’s Principal Executive Officer, and Cynthia L. Anderson, the Company’s Principal Financial Officer, certify, pursuant to 18 U.S.C. §1350, as adopted pursuant to §906 of the Sarbanes-Oxley Act of 2002, that to the best of their knowledge:</w:t>
      </w:r>
    </w:p>
    <w:p>
      <w:pPr>
        <w:spacing w:after="0" w:line="18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 (d)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Shawn K. Singh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Cynthia L. Anderson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5"/>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3" Type="http://schemas.openxmlformats.org/officeDocument/2006/relationships/hyperlink" Target="http://www.sec.gov/Archives/edgar/data/1411685/000143774923029096/ex_586441.htm" TargetMode="External"/><Relationship Id="rId64" Type="http://schemas.openxmlformats.org/officeDocument/2006/relationships/hyperlink" Target="http://www.sec.gov/Archives/edgar/data/1411685/000143774923031293/ex_5945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2024-02-13T16:11:32Z</dcterms:created>
  <dcterms:modified xsi:type="dcterms:W3CDTF">2024-02-13T16:11:32Z</dcterms:modified>
</cp:coreProperties>
</file>